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51624" w:rsidRDefault="00000000">
      <w:pPr>
        <w:pStyle w:val="Title"/>
      </w:pPr>
      <w:r>
        <w:t>A Process for Emulating Comparative Oncology Trials with Real-world Evidence Studies (ENCORE): Process Development and Methodological Considerations for Oncology Real-World Data</w:t>
      </w:r>
    </w:p>
    <w:p w:rsidR="00B51624" w:rsidRDefault="00000000">
      <w:pPr>
        <w:pStyle w:val="FirstParagraph"/>
      </w:pPr>
      <w:r>
        <w:rPr>
          <w:b/>
          <w:bCs/>
        </w:rPr>
        <w:t>Authors</w:t>
      </w:r>
      <w:r>
        <w:t>: Janick Weberpals</w:t>
      </w:r>
      <w:r>
        <w:rPr>
          <w:vertAlign w:val="superscript"/>
        </w:rPr>
        <w:t>1</w:t>
      </w:r>
      <w:r>
        <w:t>, Kenneth L. Kehl</w:t>
      </w:r>
      <w:r>
        <w:rPr>
          <w:vertAlign w:val="superscript"/>
        </w:rPr>
        <w:t>2</w:t>
      </w:r>
      <w:r>
        <w:t>, Donna R. Rivera</w:t>
      </w:r>
      <w:r>
        <w:rPr>
          <w:vertAlign w:val="superscript"/>
        </w:rPr>
        <w:t>3</w:t>
      </w:r>
      <w:r>
        <w:t>, Pallavi Mishra-Kalyani</w:t>
      </w:r>
      <w:r>
        <w:rPr>
          <w:vertAlign w:val="superscript"/>
        </w:rPr>
        <w:t>3</w:t>
      </w:r>
      <w:r>
        <w:t>, Catherine C. Lerro</w:t>
      </w:r>
      <w:r>
        <w:rPr>
          <w:vertAlign w:val="superscript"/>
        </w:rPr>
        <w:t>3</w:t>
      </w:r>
      <w:r>
        <w:t>, Erin Larkins</w:t>
      </w:r>
      <w:r>
        <w:rPr>
          <w:vertAlign w:val="superscript"/>
        </w:rPr>
        <w:t>4</w:t>
      </w:r>
      <w:r>
        <w:t>, Sonia Singh</w:t>
      </w:r>
      <w:r>
        <w:rPr>
          <w:vertAlign w:val="superscript"/>
        </w:rPr>
        <w:t>4</w:t>
      </w:r>
      <w:r>
        <w:t>, Preeti Narayan</w:t>
      </w:r>
      <w:r>
        <w:rPr>
          <w:vertAlign w:val="superscript"/>
        </w:rPr>
        <w:t>4</w:t>
      </w:r>
      <w:r>
        <w:t>, Richard Curley</w:t>
      </w:r>
      <w:r>
        <w:rPr>
          <w:vertAlign w:val="superscript"/>
        </w:rPr>
        <w:t>4</w:t>
      </w:r>
      <w:r>
        <w:t>, Paul Kluetz</w:t>
      </w:r>
      <w:r>
        <w:rPr>
          <w:vertAlign w:val="superscript"/>
        </w:rPr>
        <w:t>4</w:t>
      </w:r>
      <w:r>
        <w:t>, Georg Hahn</w:t>
      </w:r>
      <w:r>
        <w:rPr>
          <w:vertAlign w:val="superscript"/>
        </w:rPr>
        <w:t>1</w:t>
      </w:r>
      <w:r>
        <w:t>, Priyanka Anand</w:t>
      </w:r>
      <w:r>
        <w:rPr>
          <w:vertAlign w:val="superscript"/>
        </w:rPr>
        <w:t>1</w:t>
      </w:r>
      <w:r>
        <w:t>, Yanina Natanzon</w:t>
      </w:r>
      <w:r>
        <w:rPr>
          <w:vertAlign w:val="superscript"/>
        </w:rPr>
        <w:t>5</w:t>
      </w:r>
      <w:r>
        <w:t>, Andrew J. Belli</w:t>
      </w:r>
      <w:r>
        <w:rPr>
          <w:vertAlign w:val="superscript"/>
        </w:rPr>
        <w:t>6</w:t>
      </w:r>
      <w:r>
        <w:t>, Ching-Kun Wang</w:t>
      </w:r>
      <w:r>
        <w:rPr>
          <w:vertAlign w:val="superscript"/>
        </w:rPr>
        <w:t>6</w:t>
      </w:r>
      <w:r>
        <w:t>, Jenna Collins</w:t>
      </w:r>
      <w:r>
        <w:rPr>
          <w:vertAlign w:val="superscript"/>
        </w:rPr>
        <w:t>7</w:t>
      </w:r>
      <w:r>
        <w:rPr>
          <w:b/>
          <w:bCs/>
        </w:rPr>
        <w:t>,</w:t>
      </w:r>
      <w:r>
        <w:t xml:space="preserve"> Jonathan Kish</w:t>
      </w:r>
      <w:r>
        <w:rPr>
          <w:vertAlign w:val="superscript"/>
        </w:rPr>
        <w:t>7</w:t>
      </w:r>
      <w:r>
        <w:rPr>
          <w:b/>
          <w:bCs/>
        </w:rPr>
        <w:t>,</w:t>
      </w:r>
      <w:r>
        <w:t xml:space="preserve"> Janet Espirito</w:t>
      </w:r>
      <w:r>
        <w:rPr>
          <w:vertAlign w:val="superscript"/>
        </w:rPr>
        <w:t>8</w:t>
      </w:r>
      <w:r>
        <w:t>, Nicholas J Robert</w:t>
      </w:r>
      <w:r>
        <w:rPr>
          <w:vertAlign w:val="superscript"/>
        </w:rPr>
        <w:t>8</w:t>
      </w:r>
      <w:r>
        <w:t>, Robert J. Glynn</w:t>
      </w:r>
      <w:r>
        <w:rPr>
          <w:vertAlign w:val="superscript"/>
        </w:rPr>
        <w:t>1</w:t>
      </w:r>
      <w:r>
        <w:t>, Sebastian Schneeweiss</w:t>
      </w:r>
      <w:r>
        <w:rPr>
          <w:vertAlign w:val="superscript"/>
        </w:rPr>
        <w:t>1</w:t>
      </w:r>
      <w:r>
        <w:t>, Shirley V. Wang</w:t>
      </w:r>
      <w:r>
        <w:rPr>
          <w:vertAlign w:val="superscript"/>
        </w:rPr>
        <w:t>1</w:t>
      </w:r>
    </w:p>
    <w:p w:rsidR="00B51624" w:rsidRDefault="00000000">
      <w:pPr>
        <w:pStyle w:val="BodyText"/>
      </w:pPr>
      <w:r>
        <w:rPr>
          <w:u w:val="single"/>
        </w:rPr>
        <w:t>Author affiliations:</w:t>
      </w:r>
    </w:p>
    <w:p w:rsidR="00B51624" w:rsidRDefault="00000000">
      <w:pPr>
        <w:pStyle w:val="BodyText"/>
      </w:pPr>
      <w:r>
        <w:rPr>
          <w:vertAlign w:val="superscript"/>
        </w:rPr>
        <w:t>1</w:t>
      </w:r>
      <w:r>
        <w:t xml:space="preserve"> Division of Pharmacoepidemiology and Pharmacoeconomics, Department of Medicine, Brigham and Women’s Hospital, Harvard Medical School, Boston, MA, USA</w:t>
      </w:r>
    </w:p>
    <w:p w:rsidR="00B51624" w:rsidRDefault="00000000">
      <w:pPr>
        <w:pStyle w:val="BodyText"/>
      </w:pPr>
      <w:r>
        <w:rPr>
          <w:vertAlign w:val="superscript"/>
        </w:rPr>
        <w:t>2</w:t>
      </w:r>
      <w:r>
        <w:t xml:space="preserve"> Dana-Farber Cancer Institute, Boston, MA, USA</w:t>
      </w:r>
    </w:p>
    <w:p w:rsidR="00B51624" w:rsidRDefault="00000000">
      <w:pPr>
        <w:pStyle w:val="BodyText"/>
      </w:pPr>
      <w:r>
        <w:rPr>
          <w:vertAlign w:val="superscript"/>
        </w:rPr>
        <w:t>3</w:t>
      </w:r>
      <w:r>
        <w:t xml:space="preserve"> Oncology Center of Excellence, US Food and Drug Administration, Silver Spring, MD, USA</w:t>
      </w:r>
    </w:p>
    <w:p w:rsidR="00B51624" w:rsidRDefault="00000000">
      <w:pPr>
        <w:pStyle w:val="BodyText"/>
      </w:pPr>
      <w:r>
        <w:rPr>
          <w:vertAlign w:val="superscript"/>
        </w:rPr>
        <w:t>4</w:t>
      </w:r>
      <w:r>
        <w:t xml:space="preserve"> Center for Drug Evaluation and Research, US Food and Drug Administration, Silver Spring, MD, USA</w:t>
      </w:r>
    </w:p>
    <w:p w:rsidR="00B51624" w:rsidRDefault="00000000">
      <w:pPr>
        <w:pStyle w:val="BodyText"/>
      </w:pPr>
      <w:r>
        <w:rPr>
          <w:vertAlign w:val="superscript"/>
        </w:rPr>
        <w:t>5</w:t>
      </w:r>
      <w:r>
        <w:t xml:space="preserve"> ConcertAI, Cambridge, MA, USA</w:t>
      </w:r>
    </w:p>
    <w:p w:rsidR="00B51624" w:rsidRDefault="00000000">
      <w:pPr>
        <w:pStyle w:val="BodyText"/>
      </w:pPr>
      <w:r>
        <w:rPr>
          <w:vertAlign w:val="superscript"/>
        </w:rPr>
        <w:t>6</w:t>
      </w:r>
      <w:r>
        <w:t xml:space="preserve"> COTA, Inc., New York, NY, USA</w:t>
      </w:r>
    </w:p>
    <w:p w:rsidR="00B51624" w:rsidRDefault="00000000">
      <w:pPr>
        <w:pStyle w:val="BodyText"/>
      </w:pPr>
      <w:r>
        <w:rPr>
          <w:vertAlign w:val="superscript"/>
        </w:rPr>
        <w:t>7</w:t>
      </w:r>
      <w:r>
        <w:t xml:space="preserve"> Flatiron Health, Inc., New York, NY, USA</w:t>
      </w:r>
    </w:p>
    <w:p w:rsidR="00B51624" w:rsidRDefault="00000000">
      <w:pPr>
        <w:pStyle w:val="BodyText"/>
      </w:pPr>
      <w:r>
        <w:rPr>
          <w:vertAlign w:val="superscript"/>
        </w:rPr>
        <w:t>8</w:t>
      </w:r>
      <w:r>
        <w:t xml:space="preserve"> Ontada, Boston, MA, USA</w:t>
      </w:r>
    </w:p>
    <w:p w:rsidR="00B51624" w:rsidRDefault="00000000">
      <w:pPr>
        <w:pStyle w:val="BodyText"/>
      </w:pPr>
      <w:r>
        <w:rPr>
          <w:b/>
          <w:bCs/>
          <w:u w:val="single"/>
        </w:rPr>
        <w:t>Correspondence:</w:t>
      </w:r>
    </w:p>
    <w:p w:rsidR="00B51624" w:rsidRDefault="00000000">
      <w:pPr>
        <w:pStyle w:val="BodyText"/>
      </w:pPr>
      <w:r>
        <w:t>Shirley V. Wang, PhD</w:t>
      </w:r>
    </w:p>
    <w:p w:rsidR="00B51624" w:rsidRDefault="00000000">
      <w:pPr>
        <w:pStyle w:val="BodyText"/>
      </w:pPr>
      <w:r>
        <w:t>Division of Pharmacoepidemiology and Pharmacoeconomics,</w:t>
      </w:r>
    </w:p>
    <w:p w:rsidR="00B51624" w:rsidRDefault="00000000">
      <w:pPr>
        <w:pStyle w:val="BodyText"/>
      </w:pPr>
      <w:r>
        <w:lastRenderedPageBreak/>
        <w:t>Department of Medicine, Brigham and Women’s Hospital, Harvard Medical School,</w:t>
      </w:r>
    </w:p>
    <w:p w:rsidR="00B51624" w:rsidRDefault="00000000">
      <w:pPr>
        <w:pStyle w:val="BodyText"/>
      </w:pPr>
      <w:r>
        <w:t>1620 Tremont Street, Suite 3030-R, Boston, MA 02120, USA</w:t>
      </w:r>
    </w:p>
    <w:p w:rsidR="00B51624" w:rsidRDefault="00000000">
      <w:pPr>
        <w:pStyle w:val="BodyText"/>
      </w:pPr>
      <w:r>
        <w:t>Phone: +1 617-278-0932</w:t>
      </w:r>
    </w:p>
    <w:p w:rsidR="00B51624" w:rsidRDefault="00000000">
      <w:pPr>
        <w:pStyle w:val="BodyText"/>
      </w:pPr>
      <w:r>
        <w:t>Fax: + 1 617-232-8602</w:t>
      </w:r>
    </w:p>
    <w:p w:rsidR="00B51624" w:rsidRDefault="00000000">
      <w:pPr>
        <w:pStyle w:val="BodyText"/>
      </w:pPr>
      <w:r>
        <w:t xml:space="preserve">Email: </w:t>
      </w:r>
      <w:hyperlink r:id="rId7">
        <w:r>
          <w:rPr>
            <w:rStyle w:val="Hyperlink"/>
          </w:rPr>
          <w:t>SWANG1@BWH.HARVARD.EDU</w:t>
        </w:r>
      </w:hyperlink>
    </w:p>
    <w:p w:rsidR="00B51624" w:rsidRDefault="00000000">
      <w:pPr>
        <w:pStyle w:val="BodyText"/>
      </w:pPr>
      <w:r>
        <w:rPr>
          <w:b/>
          <w:bCs/>
          <w:u w:val="single"/>
        </w:rPr>
        <w:t>Article type:</w:t>
      </w:r>
      <w:r>
        <w:t xml:space="preserve"> Review</w:t>
      </w:r>
    </w:p>
    <w:p w:rsidR="00B51624" w:rsidRDefault="00000000">
      <w:pPr>
        <w:pStyle w:val="BodyText"/>
      </w:pPr>
      <w:r>
        <w:rPr>
          <w:b/>
          <w:bCs/>
          <w:u w:val="single"/>
        </w:rPr>
        <w:t>Manuscript word count:</w:t>
      </w:r>
      <w:r>
        <w:t xml:space="preserve"> 4,</w:t>
      </w:r>
      <w:r w:rsidR="0005709B">
        <w:t>509</w:t>
      </w:r>
      <w:r>
        <w:t xml:space="preserve"> words / 8,000 words</w:t>
      </w:r>
    </w:p>
    <w:p w:rsidR="00B51624" w:rsidRDefault="00000000">
      <w:pPr>
        <w:pStyle w:val="BodyText"/>
      </w:pPr>
      <w:r>
        <w:rPr>
          <w:b/>
          <w:bCs/>
          <w:u w:val="single"/>
        </w:rPr>
        <w:t>Abstract word count:</w:t>
      </w:r>
      <w:r>
        <w:t xml:space="preserve"> 224 words / 250 words</w:t>
      </w:r>
    </w:p>
    <w:p w:rsidR="00B51624" w:rsidRDefault="00000000">
      <w:pPr>
        <w:pStyle w:val="BodyText"/>
      </w:pPr>
      <w:r>
        <w:rPr>
          <w:b/>
          <w:bCs/>
          <w:u w:val="single"/>
        </w:rPr>
        <w:t>Tables:</w:t>
      </w:r>
      <w:r>
        <w:t xml:space="preserve"> 3</w:t>
      </w:r>
    </w:p>
    <w:p w:rsidR="00B51624" w:rsidRDefault="00000000">
      <w:pPr>
        <w:pStyle w:val="BodyText"/>
      </w:pPr>
      <w:r>
        <w:rPr>
          <w:b/>
          <w:bCs/>
          <w:u w:val="single"/>
        </w:rPr>
        <w:t>Figures:</w:t>
      </w:r>
      <w:r>
        <w:t xml:space="preserve"> 3</w:t>
      </w:r>
    </w:p>
    <w:p w:rsidR="00B51624" w:rsidRDefault="00000000">
      <w:pPr>
        <w:pStyle w:val="BodyText"/>
      </w:pPr>
      <w:r>
        <w:rPr>
          <w:b/>
          <w:bCs/>
          <w:u w:val="single"/>
        </w:rPr>
        <w:t>Supplementary material:</w:t>
      </w:r>
      <w:r>
        <w:t xml:space="preserve"> Supplementary figures and material</w:t>
      </w:r>
    </w:p>
    <w:p w:rsidR="00B51624" w:rsidRDefault="00000000">
      <w:pPr>
        <w:pStyle w:val="BodyText"/>
      </w:pPr>
      <w:r>
        <w:rPr>
          <w:b/>
          <w:bCs/>
          <w:u w:val="single"/>
        </w:rPr>
        <w:t>Short running title</w:t>
      </w:r>
      <w:r>
        <w:t>: Emulation of Comparative Oncology Trials with Real-world Evidence (ENCORE)</w:t>
      </w:r>
    </w:p>
    <w:p w:rsidR="00B51624" w:rsidRDefault="00000000">
      <w:pPr>
        <w:pStyle w:val="BodyText"/>
      </w:pPr>
      <w:r>
        <w:rPr>
          <w:b/>
          <w:bCs/>
          <w:u w:val="single"/>
        </w:rPr>
        <w:t>Keywords:</w:t>
      </w:r>
      <w:r>
        <w:t xml:space="preserve"> Oncology, Real-World Evidence, Trial emulation, EHR</w:t>
      </w:r>
    </w:p>
    <w:p w:rsidR="00B51624" w:rsidRDefault="00000000">
      <w:pPr>
        <w:pStyle w:val="BodyText"/>
      </w:pPr>
      <w:r>
        <w:rPr>
          <w:b/>
          <w:bCs/>
          <w:u w:val="single"/>
        </w:rPr>
        <w:t>Funding Statement:</w:t>
      </w:r>
      <w:r>
        <w:t xml:space="preserve"> This project was supported by an FDA BAA contract with contract number 75F40122C00181.</w:t>
      </w:r>
    </w:p>
    <w:p w:rsidR="00B51624" w:rsidRDefault="00000000">
      <w:pPr>
        <w:pStyle w:val="BodyText"/>
      </w:pPr>
      <w:r>
        <w:rPr>
          <w:b/>
          <w:bCs/>
          <w:u w:val="single"/>
        </w:rPr>
        <w:t>Competing Interests Statement:</w:t>
      </w:r>
      <w:r>
        <w:t xml:space="preserve"> 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w:t>
      </w:r>
      <w:r>
        <w:lastRenderedPageBreak/>
        <w:t>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rsidR="00B51624" w:rsidRDefault="00000000">
      <w:pPr>
        <w:pStyle w:val="BodyText"/>
      </w:pPr>
      <w:r>
        <w:rPr>
          <w:b/>
          <w:bCs/>
          <w:u w:val="single"/>
        </w:rPr>
        <w:t>Data sharing statement:</w:t>
      </w:r>
      <w:r>
        <w:t xml:space="preserve"> No data was analyzed as part of this project.</w:t>
      </w:r>
    </w:p>
    <w:p w:rsidR="00B51624" w:rsidRDefault="00000000">
      <w:pPr>
        <w:pStyle w:val="BodyText"/>
      </w:pPr>
      <w:r>
        <w:rPr>
          <w:b/>
          <w:bCs/>
          <w:u w:val="single"/>
        </w:rPr>
        <w:t>Analytic code sharing statement:</w:t>
      </w:r>
      <w:r>
        <w:t xml:space="preserve"> Simulated examples and code to implement analytic workflows described in this manuscript are illustrated at </w:t>
      </w:r>
      <w:hyperlink r:id="rId8">
        <w:r>
          <w:rPr>
            <w:rStyle w:val="Hyperlink"/>
          </w:rPr>
          <w:t>https://janickweberpals.github.io/imputation-ps-workflows/</w:t>
        </w:r>
      </w:hyperlink>
      <w:r>
        <w:t xml:space="preserve"> and can be reproduced via the </w:t>
      </w:r>
      <w:r>
        <w:rPr>
          <w:rStyle w:val="VerbatimChar"/>
        </w:rPr>
        <w:t>encore.analytics</w:t>
      </w:r>
      <w:r>
        <w:t xml:space="preserve"> R package (</w:t>
      </w:r>
      <w:hyperlink r:id="rId9">
        <w:r>
          <w:rPr>
            <w:rStyle w:val="Hyperlink"/>
          </w:rPr>
          <w:t>https://github.com/janickweberpals/encore.analytics/</w:t>
        </w:r>
      </w:hyperlink>
      <w:r>
        <w:t>).</w:t>
      </w:r>
    </w:p>
    <w:p w:rsidR="00B51624" w:rsidRDefault="00000000">
      <w:pPr>
        <w:pStyle w:val="BodyText"/>
      </w:pPr>
      <w:r>
        <w:rPr>
          <w:b/>
          <w:bCs/>
          <w:i/>
          <w:iCs/>
          <w:u w:val="single"/>
        </w:rPr>
        <w:t>Proposed target journals:</w:t>
      </w:r>
      <w:r>
        <w:t xml:space="preserve"> </w:t>
      </w:r>
      <w:r>
        <w:rPr>
          <w:i/>
          <w:iCs/>
        </w:rPr>
        <w:t>CPT =&gt; JCO CCI =&gt; …</w:t>
      </w:r>
    </w:p>
    <w:p w:rsidR="00B51624" w:rsidRDefault="00000000">
      <w:pPr>
        <w:pStyle w:val="BodyText"/>
      </w:pPr>
      <w:r>
        <w:rPr>
          <w:i/>
          <w:iCs/>
        </w:rPr>
        <w:t>Manuscript last updated: 2025-05-28 18:33:06.779273</w:t>
      </w:r>
    </w:p>
    <w:p w:rsidR="00B51624" w:rsidRDefault="00000000">
      <w:r>
        <w:br w:type="page"/>
      </w:r>
    </w:p>
    <w:p w:rsidR="00B51624" w:rsidRDefault="00000000">
      <w:pPr>
        <w:pStyle w:val="Heading1"/>
      </w:pPr>
      <w:bookmarkStart w:id="0" w:name="abstract"/>
      <w:r>
        <w:lastRenderedPageBreak/>
        <w:t>Abstract</w:t>
      </w:r>
    </w:p>
    <w:p w:rsidR="00B51624" w:rsidRDefault="00000000">
      <w:pPr>
        <w:pStyle w:val="FirstParagraph"/>
      </w:pPr>
      <w:r>
        <w:t>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in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validity of oncological RWE studies.</w:t>
      </w:r>
    </w:p>
    <w:p w:rsidR="00B51624" w:rsidRDefault="00000000">
      <w:r>
        <w:br w:type="page"/>
      </w:r>
    </w:p>
    <w:p w:rsidR="00B51624" w:rsidRDefault="00000000">
      <w:pPr>
        <w:pStyle w:val="Heading1"/>
      </w:pPr>
      <w:bookmarkStart w:id="1" w:name="background"/>
      <w:bookmarkEnd w:id="0"/>
      <w:r>
        <w:lastRenderedPageBreak/>
        <w:t>Background</w:t>
      </w:r>
    </w:p>
    <w:p w:rsidR="00B51624" w:rsidRDefault="00000000">
      <w:pPr>
        <w:pStyle w:val="FirstParagraph"/>
      </w:pPr>
      <w:r>
        <w:t>Randomized controlled trials (RCTs) are the go-to methodology for establishing the efficacy and safety of medical products. Directed by the 21</w:t>
      </w:r>
      <w:r>
        <w:rPr>
          <w:vertAlign w:val="superscript"/>
        </w:rPr>
        <w:t>st</w:t>
      </w:r>
      <w:r>
        <w:t xml:space="preserve"> Century Cures Act,</w:t>
      </w:r>
      <w:r>
        <w:rPr>
          <w:vertAlign w:val="superscript"/>
        </w:rPr>
        <w:t>1</w:t>
      </w:r>
      <w:r>
        <w:t xml:space="preserve"> the Food and Drug Administration (FDA) established a framework to factor consideration of real-world evidence (RWE) generated from routine-care health data such as electronic health records (EHR) to evaluate and contextualize the safety and effectiveness of novel cancer therapies.</w:t>
      </w:r>
      <w:r>
        <w:rPr>
          <w:vertAlign w:val="superscript"/>
        </w:rPr>
        <w:t>2</w:t>
      </w:r>
      <w:r>
        <w:t xml:space="preserve"> Accounting for 30% of new drug approvals, oncology was the disease area with the most FDA drug approvals in 2024</w:t>
      </w:r>
      <w:r>
        <w:rPr>
          <w:vertAlign w:val="superscript"/>
        </w:rPr>
        <w:t>3</w:t>
      </w:r>
      <w:r>
        <w:t xml:space="preserve"> and has many areas of high unmet medical need to treat serious conditions. Therefore, RWE has particularly important potential to complement evidence from RCTs in the field of oncology. Potential use cases include the assessment of effectiveness in specific patient populations that are underrepresented in RCTs, the construction of external control arms in single-arm trials that have feasibility or equipoise challenges, or the precision oncology-focused discovery of biomarkers among pan-tumor populations that harbor specific genomic and immuno-pathological signatures.</w:t>
      </w:r>
    </w:p>
    <w:p w:rsidR="00B51624" w:rsidRDefault="00000000">
      <w:pPr>
        <w:pStyle w:val="BodyText"/>
      </w:pPr>
      <w:r>
        <w:t>However, the validity and transportability of results derived between RWE studies and RCTs depends on multiple factors. Frequently referenced limitations include lack of baseline randomization, missing data, unmeasured confounding, small study sizes, data discontinuity,</w:t>
      </w:r>
      <w:r>
        <w:rPr>
          <w:vertAlign w:val="superscript"/>
        </w:rPr>
        <w:t>4, 5</w:t>
      </w:r>
      <w:r>
        <w:t xml:space="preserve"> adoption of changes in guidelines in real-world care and the inability to measure and emulate common eligibility criteria, including prognostic factors, and standardized response assessments in real-world data (RWD).</w:t>
      </w:r>
      <w:r>
        <w:rPr>
          <w:vertAlign w:val="superscript"/>
        </w:rPr>
        <w:t>6</w:t>
      </w:r>
      <w:r>
        <w:t xml:space="preserve"> While examples of oncology trial emulations have been published,</w:t>
      </w:r>
      <w:r>
        <w:rPr>
          <w:vertAlign w:val="superscript"/>
        </w:rPr>
        <w:t>6–8</w:t>
      </w:r>
      <w:r>
        <w:t xml:space="preserve"> a systematic and scaled approach to emulate a diverse set of oncology trials with multiple heterogeneous databases is necessary to gain confidence in the validity of RWE studies, evaluate regulatory considerations, and to provide context as to which questions can be validly answered.</w:t>
      </w:r>
    </w:p>
    <w:p w:rsidR="00B51624" w:rsidRDefault="00000000">
      <w:pPr>
        <w:pStyle w:val="BodyText"/>
      </w:pPr>
      <w:r>
        <w:t>The RCT DUPLICATE initiative</w:t>
      </w:r>
      <w:r>
        <w:rPr>
          <w:vertAlign w:val="superscript"/>
        </w:rPr>
        <w:t>9</w:t>
      </w:r>
      <w:r>
        <w:t xml:space="preserve"> 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were able to </w:t>
      </w:r>
      <w:r>
        <w:lastRenderedPageBreak/>
        <w:t>reach similar conclusions.</w:t>
      </w:r>
      <w:r>
        <w:rPr>
          <w:vertAlign w:val="superscript"/>
        </w:rPr>
        <w:t>10</w:t>
      </w:r>
      <w:r>
        <w:t xml:space="preserve"> However, this prior work from RCT-DUPLICATE focused primarily on emulating trials in non-oncology settings using claims databases.</w:t>
      </w:r>
    </w:p>
    <w:p w:rsidR="00B51624" w:rsidRDefault="00000000">
      <w:pPr>
        <w:pStyle w:val="BodyText"/>
      </w:pPr>
      <w:r>
        <w:t xml:space="preserve">The </w:t>
      </w:r>
      <w:r>
        <w:rPr>
          <w:i/>
          <w:iCs/>
        </w:rPr>
        <w:t>Emulation of Comparative Oncology Trials with Real-world Evidence</w:t>
      </w:r>
      <w:r>
        <w:t xml:space="preserve"> (ENCORE) project</w:t>
      </w:r>
      <w:r>
        <w:rPr>
          <w:vertAlign w:val="superscript"/>
        </w:rPr>
        <w:t>11</w:t>
      </w:r>
      <w:r>
        <w:t xml:space="preserve"> aims to extend this work to oncology. Studies in oncology come with their own unique set of methodological challenges which must be systematically explored and understood. Building on a process co-developed with the FDA through RCT DUPLICATE,</w:t>
      </w:r>
      <w:r>
        <w:rPr>
          <w:vertAlign w:val="superscript"/>
        </w:rPr>
        <w:t>9</w:t>
      </w:r>
      <w:r>
        <w:t xml:space="preserve"> this expansion to oncology will emulate 12 randomized clinical trials using multiple specialty oncology EHR data sources. The process will emphasize transparency and include documented data fit-for-purpose assessment</w:t>
      </w:r>
      <w:r>
        <w:rPr>
          <w:vertAlign w:val="superscript"/>
        </w:rPr>
        <w:t>12, 13</w:t>
      </w:r>
      <w:r>
        <w:t xml:space="preserve"> for each RWD source with respect to each trial emulation as well as extensive sensitivity analyses to assess robustness of findings.</w:t>
      </w:r>
    </w:p>
    <w:p w:rsidR="00B51624" w:rsidRDefault="00000000">
      <w:pPr>
        <w:pStyle w:val="BodyText"/>
      </w:pPr>
      <w:r>
        <w:t>The objectives of this project are to 1) develop state-of-the-art methodological approaches and 2) to apply them to create insights into the potential use of RWE to enhance regulatory science in oncology. To achieve these objectives, this demonstration project will systematically emulate 12 oncology trials across four cancer types and assess the agreement of treatment effect estimates between RCTs and their respective emulations.</w:t>
      </w:r>
    </w:p>
    <w:p w:rsidR="00B51624" w:rsidRDefault="00000000">
      <w:pPr>
        <w:pStyle w:val="BodyText"/>
      </w:pPr>
      <w:r>
        <w:t>Here,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p w:rsidR="00B51624" w:rsidRDefault="00000000">
      <w:pPr>
        <w:pStyle w:val="Heading1"/>
      </w:pPr>
      <w:bookmarkStart w:id="2" w:name="methods"/>
      <w:bookmarkEnd w:id="1"/>
      <w:r>
        <w:t>Methods</w:t>
      </w:r>
    </w:p>
    <w:p w:rsidR="00B51624" w:rsidRDefault="00000000">
      <w:pPr>
        <w:pStyle w:val="FirstParagraph"/>
      </w:pPr>
      <w:r>
        <w:t xml:space="preserve">A visual summary of the entire systematic process from trial selection to final results is provided in </w:t>
      </w:r>
      <w:hyperlink w:anchor="fig-process">
        <w:r>
          <w:rPr>
            <w:rStyle w:val="Hyperlink"/>
          </w:rPr>
          <w:t>Figure 1</w:t>
        </w:r>
      </w:hyperlink>
      <w:r>
        <w:t>.</w:t>
      </w:r>
    </w:p>
    <w:p w:rsidR="00B51624" w:rsidRDefault="00000000">
      <w:pPr>
        <w:pStyle w:val="Heading2"/>
      </w:pPr>
      <w:bookmarkStart w:id="3" w:name="trial-selection"/>
      <w:r>
        <w:t>Trial selection</w:t>
      </w:r>
    </w:p>
    <w:p w:rsidR="00B51624" w:rsidRDefault="00000000">
      <w:pPr>
        <w:pStyle w:val="FirstParagraph"/>
      </w:pPr>
      <w:r>
        <w:t xml:space="preserve">The focus of ENCORE is to efficiently explore in what contexts RWE studies can or cannot yield similar results compared to RCTs. Therefore, the project emphasizes trials </w:t>
      </w:r>
      <w:r>
        <w:lastRenderedPageBreak/>
        <w:t xml:space="preserve">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 </w:t>
      </w:r>
      <w:r>
        <w:rPr>
          <w:i/>
          <w:iCs/>
        </w:rPr>
        <w:t>n</w:t>
      </w:r>
      <w:r>
        <w:t xml:space="preserve"> databases which are found fit-for-purpose for each trial).</w:t>
      </w:r>
    </w:p>
    <w:p w:rsidR="00B51624" w:rsidRDefault="00000000">
      <w:pPr>
        <w:pStyle w:val="BodyText"/>
      </w:pPr>
      <w:r>
        <w:t xml:space="preserve">We used a systematic process for trial selection where the eligibility criteria are documented in CONSORT diagrams showing reasons for excluding RCTs for each cancer type. The search was conducted using the </w:t>
      </w:r>
      <w:r>
        <w:rPr>
          <w:i/>
          <w:iCs/>
        </w:rPr>
        <w:t>Aggregated Analysis of ClinicalTrials.gov</w:t>
      </w:r>
      <w:r>
        <w:t xml:space="preserve"> (AACT)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14</w:t>
      </w:r>
      <w:r>
        <w:t xml:space="preserve"> To identify eligible trials, we used a combined search query strategy of the National Library of Medicine (NLM)-controlled </w:t>
      </w:r>
      <w:r>
        <w:rPr>
          <w:i/>
          <w:iCs/>
        </w:rPr>
        <w:t xml:space="preserve">Medical Subject Headings </w:t>
      </w:r>
      <w:r>
        <w:rPr>
          <w:b/>
          <w:bCs/>
          <w:i/>
          <w:iCs/>
        </w:rPr>
        <w:t>(</w:t>
      </w:r>
      <w:r>
        <w:t xml:space="preserve">MeSH) term and a free keyword search for the respective cancer indication in the </w:t>
      </w:r>
      <w:r>
        <w:rPr>
          <w:i/>
          <w:iCs/>
        </w:rPr>
        <w:t>conditions</w:t>
      </w:r>
      <w:r>
        <w:t xml:space="preserve">, </w:t>
      </w:r>
      <w:r>
        <w:rPr>
          <w:i/>
          <w:iCs/>
        </w:rPr>
        <w:t>studies</w:t>
      </w:r>
      <w:r>
        <w:t xml:space="preserve"> and </w:t>
      </w:r>
      <w:r>
        <w:rPr>
          <w:i/>
          <w:iCs/>
        </w:rPr>
        <w:t>detailed_descriptions</w:t>
      </w:r>
      <w:r>
        <w:t xml:space="preserve"> fields of each trial entry on ClinicalTrials.gov.</w:t>
      </w:r>
    </w:p>
    <w:p w:rsidR="00B51624" w:rsidRDefault="00000000">
      <w:pPr>
        <w:pStyle w:val="BodyText"/>
      </w:pPr>
      <w:r>
        <w:t>Eligible trials had to fulfill the following basic criteria:</w:t>
      </w:r>
    </w:p>
    <w:p w:rsidR="00B51624" w:rsidRDefault="00000000">
      <w:pPr>
        <w:numPr>
          <w:ilvl w:val="0"/>
          <w:numId w:val="303"/>
        </w:numPr>
      </w:pPr>
      <w:r>
        <w:t>Interventional</w:t>
      </w:r>
    </w:p>
    <w:p w:rsidR="00B51624" w:rsidRDefault="00000000">
      <w:pPr>
        <w:numPr>
          <w:ilvl w:val="0"/>
          <w:numId w:val="303"/>
        </w:numPr>
      </w:pPr>
      <w:r>
        <w:t>Randomized</w:t>
      </w:r>
    </w:p>
    <w:p w:rsidR="00B51624" w:rsidRDefault="00000000">
      <w:pPr>
        <w:numPr>
          <w:ilvl w:val="0"/>
          <w:numId w:val="303"/>
        </w:numPr>
      </w:pPr>
      <w:r>
        <w:t>Intervention model: parallel assignment</w:t>
      </w:r>
    </w:p>
    <w:p w:rsidR="00B51624" w:rsidRDefault="00000000">
      <w:pPr>
        <w:numPr>
          <w:ilvl w:val="0"/>
          <w:numId w:val="303"/>
        </w:numPr>
      </w:pPr>
      <w:r>
        <w:t>Industry-sponsored</w:t>
      </w:r>
    </w:p>
    <w:p w:rsidR="00B51624" w:rsidRDefault="00000000">
      <w:pPr>
        <w:numPr>
          <w:ilvl w:val="0"/>
          <w:numId w:val="303"/>
        </w:numPr>
      </w:pPr>
      <w:r>
        <w:t>Trial start in 2011 or later</w:t>
      </w:r>
    </w:p>
    <w:p w:rsidR="00B51624" w:rsidRDefault="00000000">
      <w:pPr>
        <w:numPr>
          <w:ilvl w:val="0"/>
          <w:numId w:val="303"/>
        </w:numPr>
      </w:pPr>
      <w:r>
        <w:t>Primary purpose was to study treatment efficacy</w:t>
      </w:r>
    </w:p>
    <w:p w:rsidR="00B51624" w:rsidRDefault="00000000">
      <w:pPr>
        <w:numPr>
          <w:ilvl w:val="0"/>
          <w:numId w:val="303"/>
        </w:numPr>
      </w:pPr>
      <w:r>
        <w:t>Overall survival must be one of the endpoints reported (either as hazard ratio or median overall survival time)</w:t>
      </w:r>
    </w:p>
    <w:p w:rsidR="00B51624" w:rsidRDefault="00000000">
      <w:pPr>
        <w:numPr>
          <w:ilvl w:val="0"/>
          <w:numId w:val="303"/>
        </w:numPr>
      </w:pPr>
      <w:r>
        <w:t>Recruitment status: ‘Completed’ or ‘Active, not recruiting’</w:t>
      </w:r>
    </w:p>
    <w:p w:rsidR="00B51624" w:rsidRDefault="00000000">
      <w:pPr>
        <w:numPr>
          <w:ilvl w:val="0"/>
          <w:numId w:val="303"/>
        </w:numPr>
      </w:pPr>
      <w:r>
        <w:t>Feasibility and clinical relevance (latter was defined as treatment or paradigm-changing trials or such that challenged existing treatment policies)</w:t>
      </w:r>
    </w:p>
    <w:p w:rsidR="00B51624" w:rsidRDefault="00000000">
      <w:pPr>
        <w:pStyle w:val="FirstParagraph"/>
      </w:pPr>
      <w:r>
        <w:lastRenderedPageBreak/>
        <w:t xml:space="preserve">The rationale and operationalization for each criterion is listed in detail in </w:t>
      </w:r>
      <w:hyperlink w:anchor="tbl-criteria">
        <w:r>
          <w:rPr>
            <w:rStyle w:val="Hyperlink"/>
          </w:rPr>
          <w:t>Table 1</w:t>
        </w:r>
      </w:hyperlink>
      <w:r>
        <w:t>. We will mainly consider pivotal large late-phase interventional RCTs after 2011 because treatment guidelines among included cancer indications have undergone significant changes in recent years. Due to the rapid adoption of breakthrough therapies in routine care, few patients currently initiate outdated treatment regimens in current clinical practice. Conversely, we excluded trials with results published too recently to allow for enough data and follow-up time accrual in the real-world databases used for this project. We did not define a global cut-off as the requirements for follow-up time are different for each cancer type and population (e.g., advanced NSCLC versus early-stage breast cancer) and the decisions were made on a case-by-case basis.</w:t>
      </w:r>
    </w:p>
    <w:p w:rsidR="00B51624" w:rsidRDefault="00000000">
      <w:pPr>
        <w:pStyle w:val="BodyText"/>
      </w:pPr>
      <w:r>
        <w:t>Although there have been substantial methodological advancements to increase our understanding on the emulation and comparison of real-world progression-free survival (PFS) and objective response rates (ORR) to a RECISTv1.1</w:t>
      </w:r>
      <w:r>
        <w:rPr>
          <w:vertAlign w:val="superscript"/>
        </w:rPr>
        <w:t>15</w:t>
      </w:r>
      <w:r>
        <w:t>-based PFS and ORR assessment in RCTs</w:t>
      </w:r>
      <w:r>
        <w:rPr>
          <w:vertAlign w:val="superscript"/>
        </w:rPr>
        <w:t>16, 17</w:t>
      </w:r>
      <w:r>
        <w:t>, imaging-based evaluations still hold a level of granularity which is not well reflected in chart-abstracted assessments of a patient’s progression in routine care.</w:t>
      </w:r>
      <w:r>
        <w:rPr>
          <w:vertAlign w:val="superscript"/>
        </w:rPr>
        <w:t>18, 19</w:t>
      </w:r>
      <w:r>
        <w:t xml:space="preserve"> The timing and cadence of intervals between progression assessments can differ between RCTs and routine care which may result in measurement error and bias.</w:t>
      </w:r>
      <w:r>
        <w:rPr>
          <w:vertAlign w:val="superscript"/>
        </w:rPr>
        <w:t>20</w:t>
      </w:r>
      <w:r>
        <w:t xml:space="preserve"> 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rsidR="00B51624" w:rsidRDefault="00000000">
      <w:pPr>
        <w:pStyle w:val="BodyText"/>
      </w:pPr>
      <w:r>
        <w:t>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19</w:t>
      </w:r>
      <w:r>
        <w:t xml:space="preserve"> involving an assessment of whether critical eligibility criteria (e.g., biomarker status) including prognostic factors (e.g., ECOG performance score) are measurable, and whether preliminary study size based on a rough estimation of the number of patients observed in the data with the combination of treatment regimen and line of treatment is </w:t>
      </w:r>
      <w:r>
        <w:lastRenderedPageBreak/>
        <w:t>reasonable for shortlisting the trial. Lastly, trial candidates were ranked and shortlisted into primary and runner-up candidates based on their clinical and regulatory relevance.</w:t>
      </w:r>
    </w:p>
    <w:p w:rsidR="00B51624" w:rsidRDefault="00000000">
      <w:pPr>
        <w:pStyle w:val="BodyText"/>
      </w:pPr>
      <w:r>
        <w:t xml:space="preserve">A list of tentative, shortlisted primary candidates is presented in </w:t>
      </w:r>
      <w:hyperlink w:anchor="tbl-rcts">
        <w:r>
          <w:rPr>
            <w:rStyle w:val="Hyperlink"/>
          </w:rPr>
          <w:t>Table 2</w:t>
        </w:r>
      </w:hyperlink>
      <w:r>
        <w:t>. The corresponding selection process is illustrated in the CONSORT diagrams (</w:t>
      </w:r>
      <w:r>
        <w:rPr>
          <w:b/>
          <w:bCs/>
        </w:rPr>
        <w:t>Supplementary Figures 1-4</w:t>
      </w:r>
      <w:r>
        <w:t xml:space="preserve">) and runner up candidate trials are listed in </w:t>
      </w:r>
      <w:r>
        <w:rPr>
          <w:b/>
          <w:bCs/>
        </w:rPr>
        <w:t>Supplementary Table 1</w:t>
      </w:r>
      <w:r>
        <w:t>. Naturally, the majority of shortliested trials cover advanced (locally advanced, inoperable, recurrent/progressive disease) or metastatic cancer populations because a large proportion of drug development efforts have recently focused on these settings. A key objective that we aim to explore with the selected trials is to achieve a better understanding how different disease settings (early, late), line settings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suggest that the threat of bias from mis-measurement of key study parameters or residual confounding remains high, or that the study size is not sufficient, then runner-up candidate trials will be considered instead.</w:t>
      </w:r>
    </w:p>
    <w:p w:rsidR="00B51624" w:rsidRDefault="00000000">
      <w:pPr>
        <w:pStyle w:val="Heading2"/>
      </w:pPr>
      <w:bookmarkStart w:id="4" w:name="databases"/>
      <w:bookmarkEnd w:id="3"/>
      <w:r>
        <w:t>Databases</w:t>
      </w:r>
    </w:p>
    <w:p w:rsidR="00B51624" w:rsidRDefault="00000000">
      <w:pPr>
        <w:pStyle w:val="FirstParagraph"/>
      </w:pPr>
      <w:r>
        <w:t xml:space="preserve">The ENCORE project will use data from four oncology-specific electronic health records (EHR)-derived RWD data sources (in alphabetical order): ConcertAI, COTA, Flatiron Health, and Ontada/McKesson. The included databases comprise the necessary information to study medical product effectiveness in oncology derived from US-based oncology EHRs. A detailed description and sampling methodology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w:t>
      </w:r>
      <w:r>
        <w:lastRenderedPageBreak/>
        <w:t>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21</w:t>
      </w:r>
    </w:p>
    <w:p w:rsidR="00B51624" w:rsidRDefault="00000000">
      <w:pPr>
        <w:pStyle w:val="Heading2"/>
      </w:pPr>
      <w:bookmarkStart w:id="5" w:name="protocol-development"/>
      <w:bookmarkEnd w:id="4"/>
      <w:r>
        <w:t>Protocol development</w:t>
      </w:r>
    </w:p>
    <w:p w:rsidR="00B51624" w:rsidRDefault="00000000">
      <w:pPr>
        <w:pStyle w:val="FirstParagraph"/>
      </w:pPr>
      <w:r>
        <w:t>For each selected RCT, a detailed protocol, pre-specifying key elements of the trial emulation, will be developed using the HARPER protocol template</w:t>
      </w:r>
      <w:r>
        <w:rPr>
          <w:vertAlign w:val="superscript"/>
        </w:rPr>
        <w:t>22</w:t>
      </w:r>
      <w:r>
        <w:t xml:space="preserve"> recommended for regulatory submissions of RWE studies</w:t>
      </w:r>
      <w:r>
        <w:rPr>
          <w:vertAlign w:val="superscript"/>
        </w:rPr>
        <w:t>23</w:t>
      </w:r>
      <w:r>
        <w:t xml:space="preserve"> and will be registered on ClinicalTrials.gov after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24, 25</w:t>
      </w:r>
      <w:r>
        <w:t xml:space="preserve"> Since it is common that oncology RCTs update OS estimates periodically based on accrued follow-up time, the protocol will give a brief summary of each emulated RCT and specify which target OS estimates will be used for agreement metric evaluation (see </w:t>
      </w:r>
      <w:hyperlink w:anchor="sec-agreement-metrics">
        <w:r>
          <w:rPr>
            <w:rStyle w:val="Hyperlink"/>
          </w:rPr>
          <w:t>Section 2.4</w:t>
        </w:r>
      </w:hyperlink>
      <w:r>
        <w:t>). All eligibility criteria will be extracted based on publications, publicly available protocols, and statistical analysis plans of the selected RCT.</w:t>
      </w:r>
    </w:p>
    <w:p w:rsidR="00B51624" w:rsidRDefault="00000000">
      <w:pPr>
        <w:pStyle w:val="BodyText"/>
      </w:pPr>
      <w:r>
        <w:rPr>
          <w:b/>
          <w:bCs/>
        </w:rPr>
        <w:t>Emulating the RCT estimand</w:t>
      </w:r>
    </w:p>
    <w:p w:rsidR="00B51624" w:rsidRDefault="00000000">
      <w:pPr>
        <w:pStyle w:val="BodyText"/>
      </w:pPr>
      <w:r>
        <w:t>One important aspect when emulating oncology trials is the choice and estimation of the appropriate estimand of interest.</w:t>
      </w:r>
      <w:r>
        <w:rPr>
          <w:vertAlign w:val="superscript"/>
        </w:rPr>
        <w:t>26</w:t>
      </w:r>
      <w:r>
        <w:t xml:space="preserve"> In prior RCT-DUPLICATE efforts, a “while on treatment” strategy was chosen for database studies that were designed to emulate trials where the primary trial analysis was intention-to-treat (e.g., a “treatment policy” estimand). This estimand was chosen to mimic the high adherence typically observed in large cardiovascular clinical trials in the context of low adherence in clinical practice. However, a “while on treatment” estimand would be inappropriate when emulating oncology trials, not only because of highly informative censoring, but also because OS outcome analyses in oncology are typically “treatment policy” estimands that allow crossover.</w:t>
      </w:r>
      <w:r>
        <w:rPr>
          <w:vertAlign w:val="superscript"/>
        </w:rPr>
        <w:t>27</w:t>
      </w:r>
      <w:r>
        <w:t xml:space="preserve"> We plan to focus on “treatment policy” estimands for the primary analyses in our trial emulations. However, allowing crossover can dilute treatment effects, moving </w:t>
      </w:r>
      <w:r>
        <w:lastRenderedPageBreak/>
        <w:t>point estimates toward the null. Therefore, differences in cross-over and discontinuation rates between the trial and emulation may still contribute to estimand differences. Recognizing these practical challenges, we will carefully characterize the patterns of discontinuation or cross-over in both the trials and the database studies designed to emulate them.</w:t>
      </w:r>
    </w:p>
    <w:p w:rsidR="00B51624" w:rsidRDefault="00000000">
      <w:pPr>
        <w:pStyle w:val="Heading3"/>
      </w:pPr>
      <w:bookmarkStart w:id="6" w:name="emulation-feasibility"/>
      <w:r>
        <w:t>Emulation feasibility</w:t>
      </w:r>
    </w:p>
    <w:p w:rsidR="00B51624" w:rsidRDefault="00000000">
      <w:pPr>
        <w:pStyle w:val="Heading4"/>
      </w:pPr>
      <w:bookmarkStart w:id="7" w:name="fit-for-purpose-data"/>
      <w:r>
        <w:rPr>
          <w:b/>
        </w:rPr>
        <w:t>Fit-for-purpose data</w:t>
      </w:r>
    </w:p>
    <w:p w:rsidR="00B51624" w:rsidRDefault="00000000">
      <w:pPr>
        <w:pStyle w:val="FirstParagraph"/>
      </w:pPr>
      <w:r>
        <w:t>Real-world data fitness and emulation feasibility for each shortlisted candidate trial will be assessed in multiple steps based on direction from of the oncology quality, characterization, and assessment of real-world data (Oncology QCARD) Initiative.</w:t>
      </w:r>
      <w:r>
        <w:rPr>
          <w:vertAlign w:val="superscript"/>
        </w:rPr>
        <w:t>19</w:t>
      </w:r>
      <w:r>
        <w:t xml:space="preserve"> The first step assesses if relevant variables like exposure, line of therapy, outcomes, and covariates are generally available, measured and operationalizable in routine-care. Since many oncological RCTs in recent years have focused on selected, biomarker-defined populations, nuances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as a percent staining, tumor proportion score or combined positive score) has evolved, and as such PD-L1 ’</w:t>
      </w:r>
      <w:r>
        <w:rPr>
          <w:i/>
          <w:iCs/>
        </w:rPr>
        <w:t>positivity’</w:t>
      </w:r>
      <w:r>
        <w:t xml:space="preserve"> may have different definitions across calendar years based on different cut-off values.</w:t>
      </w:r>
    </w:p>
    <w:p w:rsidR="00B51624" w:rsidRDefault="00000000">
      <w:pPr>
        <w:pStyle w:val="BodyText"/>
      </w:pPr>
      <w:r>
        <w:t xml:space="preserve">According to the </w:t>
      </w:r>
      <w:r>
        <w:rPr>
          <w:i/>
          <w:iCs/>
        </w:rPr>
        <w:t>Structured Process to Identify Fit-For-Purpose Data</w:t>
      </w:r>
      <w:r>
        <w:t xml:space="preserve"> (SPIFD) framework</w:t>
      </w:r>
      <w:r>
        <w:rPr>
          <w:vertAlign w:val="superscript"/>
        </w:rPr>
        <w:t>13</w:t>
      </w:r>
      <w:r>
        <w:t>, the next step outlines how eligibility criteria will be ascertained using a color-coded heatmap that will indicate the level of confidence on how well each criterion can be emulated in each selected database. As there are general eligibility criteria in oncology clinical trials which either are infeasible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rsidR="00B51624" w:rsidRDefault="00000000">
      <w:pPr>
        <w:pStyle w:val="BodyText"/>
      </w:pPr>
      <w:r>
        <w:lastRenderedPageBreak/>
        <w:t>Additionally, we will provide conceptual and operationalized definitions on how exposures, outcomes and covariates are defined in each respective database. There will be special emphasis on how exposure, in context of disease and line of therapy settings, and the OS outcome are emulated. For all considered databases, OS is typically a composite measure that, depending on the underlying database, can be derived from different mortality sources (i.e.,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28</w:t>
      </w:r>
    </w:p>
    <w:p w:rsidR="00B51624" w:rsidRDefault="00000000">
      <w:pPr>
        <w:pStyle w:val="Heading4"/>
      </w:pPr>
      <w:bookmarkStart w:id="8" w:name="descriptives-and-data-exploration"/>
      <w:bookmarkEnd w:id="7"/>
      <w:r>
        <w:rPr>
          <w:b/>
        </w:rPr>
        <w:t>Descriptives and data exploration</w:t>
      </w:r>
    </w:p>
    <w:p w:rsidR="00B51624" w:rsidRDefault="00000000">
      <w:pPr>
        <w:pStyle w:val="FirstParagraph"/>
      </w:pPr>
      <w:r>
        <w:t>Particularly when emulating pivotal trials of paradigm-changing treatments, multiple aspects need to be considered, such as the contemporaneity of the control cohort, the adoption rate of the novel medical product in routine care, the magnitude of the clinical treatment benefit and the rate in which patients discontinue or cross-over, which could dilute effect estimates.</w:t>
      </w:r>
    </w:p>
    <w:p w:rsidR="00B51624" w:rsidRDefault="00000000">
      <w:pPr>
        <w:pStyle w:val="BodyText"/>
      </w:pPr>
      <w:r>
        <w:t xml:space="preserve">To that end, comprehensive data explorations will be performed as part of the protocol development to contextualize these parameters and (if reported) draw comparisons to the emulated trial. Examples for such standard diagnostics are visualized in </w:t>
      </w:r>
      <w:hyperlink w:anchor="fig-initiators">
        <w:r>
          <w:rPr>
            <w:rStyle w:val="Hyperlink"/>
          </w:rPr>
          <w:t>Figure 2</w:t>
        </w:r>
      </w:hyperlink>
      <w:r>
        <w:t>. All exploratory analyses will be conducted blinded towards the outcome to avoid influencing study design and analytic choices.</w:t>
      </w:r>
    </w:p>
    <w:p w:rsidR="00B51624" w:rsidRDefault="00000000">
      <w:pPr>
        <w:pStyle w:val="BodyText"/>
      </w:pPr>
      <w:r>
        <w:t>The distribution of patient characteristics, by exposure status, will be examined using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p w:rsidR="00B51624" w:rsidRDefault="00000000">
      <w:pPr>
        <w:pStyle w:val="Heading4"/>
      </w:pPr>
      <w:bookmarkStart w:id="9" w:name="statistical-power-considerations"/>
      <w:bookmarkEnd w:id="8"/>
      <w:r>
        <w:rPr>
          <w:b/>
        </w:rPr>
        <w:lastRenderedPageBreak/>
        <w:t>Statistical power considerations</w:t>
      </w:r>
    </w:p>
    <w:p w:rsidR="00B51624" w:rsidRDefault="00000000">
      <w:pPr>
        <w:pStyle w:val="FirstParagraph"/>
      </w:pPr>
      <w:r>
        <w:t>Causal analyses of observational data are often not designed with respect to formal hypothesis testing and statistical power in the same manner as RCTs since the number of ‘recruited’ patients is limited by available data and cannot be influenced.</w:t>
      </w:r>
      <w:r>
        <w:rPr>
          <w:vertAlign w:val="superscript"/>
        </w:rPr>
        <w:t>29</w:t>
      </w:r>
      <w:r>
        <w:t xml:space="preserve"> 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w:rPr>
            <w:rFonts w:ascii="Cambria Math" w:hAnsi="Cambria Math"/>
          </w:rPr>
          <m:t>β</m:t>
        </m:r>
      </m:oMath>
      <w:r>
        <w:t>) will be estimated using Schoenfeld’s sample-size formula for the proportional-hazards regression model.</w:t>
      </w:r>
      <w:r>
        <w:rPr>
          <w:vertAlign w:val="superscript"/>
        </w:rPr>
        <w:t>30</w:t>
      </w:r>
    </w:p>
    <w:p w:rsidR="00B51624" w:rsidRDefault="00000000">
      <w:pPr>
        <w:pStyle w:val="Heading2"/>
      </w:pPr>
      <w:bookmarkStart w:id="10" w:name="sec-agreement-metrics"/>
      <w:bookmarkEnd w:id="5"/>
      <w:bookmarkEnd w:id="6"/>
      <w:bookmarkEnd w:id="9"/>
      <w:r>
        <w:t>Agreement metrics</w:t>
      </w:r>
    </w:p>
    <w:p w:rsidR="00B51624" w:rsidRDefault="00000000">
      <w:pPr>
        <w:pStyle w:val="FirstParagraph"/>
      </w:pPr>
      <w:r>
        <w:t>To formally compare treatment effects between RCTs and their respective emulations, we will adapt the approach of the RCT-DUPLICATE project.</w:t>
      </w:r>
      <w:r>
        <w:rPr>
          <w:vertAlign w:val="superscript"/>
        </w:rPr>
        <w:t>9, 31</w:t>
      </w:r>
      <w:r>
        <w:t xml:space="preserve"> That is, for the primary endpoint of interest (HR for OS and corresponding 95% confidence intervals), we will derive three qualitative agreement metrics: statistical agreement, estimate agreement and agreement based on the standardized mean difference (SMD). Examples are illustrated </w:t>
      </w:r>
      <w:hyperlink w:anchor="tbl-metrics">
        <w:r>
          <w:rPr>
            <w:rStyle w:val="Hyperlink"/>
          </w:rPr>
          <w:t>Table 3</w:t>
        </w:r>
      </w:hyperlink>
      <w:r>
        <w:t>.</w:t>
      </w:r>
    </w:p>
    <w:p w:rsidR="00B51624" w:rsidRDefault="00000000">
      <w:pPr>
        <w:pStyle w:val="BodyText"/>
      </w:pPr>
      <w:r>
        <w:rPr>
          <w:b/>
          <w:bCs/>
        </w:rPr>
        <w:t>Statistical significance agreement</w:t>
      </w:r>
      <w:r>
        <w:t>: agreement between RCT and emulated trial treatment effect with regards to directionality and statistical significance.</w:t>
      </w:r>
    </w:p>
    <w:p w:rsidR="00B51624" w:rsidRDefault="00000000">
      <w:pPr>
        <w:pStyle w:val="BodyText"/>
      </w:pPr>
      <w:r>
        <w:rPr>
          <w:b/>
          <w:bCs/>
        </w:rPr>
        <w:t>Estimate agreement</w:t>
      </w:r>
      <w:r>
        <w:t>: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rsidR="00B51624" w:rsidRDefault="00000000">
      <w:pPr>
        <w:pStyle w:val="BodyText"/>
      </w:pPr>
      <w:r>
        <w:rPr>
          <w:b/>
          <w:bCs/>
        </w:rPr>
        <w:lastRenderedPageBreak/>
        <w:t>SMD agreement</w:t>
      </w:r>
      <w:r>
        <w:t>: quantification of the agreement between the emulated RWE and RCT treatment effect estimate. The SMD is calculated as</w:t>
      </w:r>
    </w:p>
    <w:p w:rsidR="00B51624" w:rsidRDefault="00000000">
      <w:pPr>
        <w:pStyle w:val="BodyText"/>
      </w:pPr>
      <m:oMathPara>
        <m:oMathParaPr>
          <m:jc m:val="center"/>
        </m:oMathParaPr>
        <m:oMath>
          <m:r>
            <w:rPr>
              <w:rFonts w:ascii="Cambria Math" w:hAnsi="Cambria Math"/>
            </w:rPr>
            <m:t>SMD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RCT</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RWE</m:t>
                  </m:r>
                </m:sub>
              </m:sSub>
            </m:num>
            <m:den>
              <m:rad>
                <m:radPr>
                  <m:degHide m:val="1"/>
                  <m:ctrlPr>
                    <w:rPr>
                      <w:rFonts w:ascii="Cambria Math" w:hAnsi="Cambria Math"/>
                    </w:rPr>
                  </m:ctrlPr>
                </m:radPr>
                <m:deg/>
                <m:e>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RCT</m:t>
                          </m:r>
                        </m:sub>
                      </m:sSub>
                    </m:e>
                  </m:d>
                  <m:r>
                    <m:rPr>
                      <m:sty m:val="p"/>
                    </m:rPr>
                    <w:rPr>
                      <w:rFonts w:ascii="Cambria Math" w:hAnsi="Cambria Math"/>
                    </w:rPr>
                    <m:t>+</m:t>
                  </m:r>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RWE</m:t>
                          </m:r>
                        </m:sub>
                      </m:sSub>
                    </m:e>
                  </m:d>
                </m:e>
              </m:rad>
            </m:den>
          </m:f>
        </m:oMath>
      </m:oMathPara>
    </w:p>
    <w:p w:rsidR="00B51624" w:rsidRDefault="00000000">
      <w:pPr>
        <w:pStyle w:val="FirstParagraph"/>
      </w:pPr>
      <w: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RCT</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RWE</m:t>
            </m:r>
          </m:sub>
        </m:sSub>
      </m:oMath>
      <w:r>
        <w:t xml:space="preserve"> are the treatment effect estimates (hazard ratios or median survival time differences) and </w:t>
      </w:r>
      <m:oMath>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RCT</m:t>
                </m:r>
              </m:sub>
            </m:sSub>
          </m:e>
        </m:d>
      </m:oMath>
      <w:r>
        <w:t xml:space="preserve"> and </w:t>
      </w:r>
      <m:oMath>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RWE</m:t>
                </m:r>
              </m:sub>
            </m:sSub>
          </m:e>
        </m:d>
      </m:oMath>
      <w:r>
        <w:t xml:space="preserve"> are the corresponding variances for RCT and RWE, respectively. The resulting SMDs will be interpreted such that with an SMD of 1.00, the effect estimate from the RCT and the RWE emulation are 1 standard deviation apart. For an </w:t>
      </w:r>
      <m:oMath>
        <m:r>
          <w:rPr>
            <w:rFonts w:ascii="Cambria Math" w:hAnsi="Cambria Math"/>
          </w:rPr>
          <m:t>α</m:t>
        </m:r>
      </m:oMath>
      <w:r>
        <w:t xml:space="preserve">-level of 0.05, the null hypothesis of no difference would be rejected whenever </w:t>
      </w:r>
      <m:oMath>
        <m:d>
          <m:dPr>
            <m:begChr m:val="|"/>
            <m:endChr m:val="|"/>
            <m:ctrlPr>
              <w:rPr>
                <w:rFonts w:ascii="Cambria Math" w:hAnsi="Cambria Math"/>
              </w:rPr>
            </m:ctrlPr>
          </m:dPr>
          <m:e>
            <m:r>
              <w:rPr>
                <w:rFonts w:ascii="Cambria Math" w:hAnsi="Cambria Math"/>
              </w:rPr>
              <m:t>Z</m:t>
            </m:r>
          </m:e>
        </m:d>
        <m:r>
          <m:rPr>
            <m:sty m:val="p"/>
          </m:rPr>
          <w:rPr>
            <w:rFonts w:ascii="Cambria Math" w:hAnsi="Cambria Math"/>
          </w:rPr>
          <m:t>&gt;</m:t>
        </m:r>
        <m:r>
          <w:rPr>
            <w:rFonts w:ascii="Cambria Math" w:hAnsi="Cambria Math"/>
          </w:rPr>
          <m:t>1.96</m:t>
        </m:r>
      </m:oMath>
      <w:r>
        <w:t>.</w:t>
      </w:r>
    </w:p>
    <w:p w:rsidR="00B51624" w:rsidRDefault="00000000">
      <w:pPr>
        <w:pStyle w:val="BodyText"/>
      </w:pPr>
      <w:r>
        <w:t>For the secondary endpoints of interest (e.g., median survival time or survival probabilities) only the SMD agreement metric will be applicable.</w:t>
      </w:r>
    </w:p>
    <w:p w:rsidR="00B51624" w:rsidRDefault="00000000">
      <w:pPr>
        <w:pStyle w:val="Heading2"/>
      </w:pPr>
      <w:bookmarkStart w:id="11" w:name="study-design-and-statistical-analysis"/>
      <w:bookmarkEnd w:id="10"/>
      <w:r>
        <w:t>Study design and statistical analysis</w:t>
      </w:r>
    </w:p>
    <w:p w:rsidR="00B51624" w:rsidRDefault="00000000">
      <w:pPr>
        <w:pStyle w:val="FirstParagraph"/>
      </w:pPr>
      <w:r>
        <w:t>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32</w:t>
      </w:r>
    </w:p>
    <w:p w:rsidR="00B51624" w:rsidRDefault="00000000">
      <w:pPr>
        <w:pStyle w:val="Heading3"/>
      </w:pPr>
      <w:bookmarkStart w:id="12" w:name="missing-data"/>
      <w:r>
        <w:t>Missing data</w:t>
      </w:r>
    </w:p>
    <w:p w:rsidR="00B51624" w:rsidRDefault="00000000">
      <w:pPr>
        <w:pStyle w:val="FirstParagraph"/>
      </w:pPr>
      <w:r>
        <w:t>To establish an analytic cohort, missingness will be assessed in a first iteration across patients who meet all eligibility criteria, including those with missing values.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33</w:t>
      </w:r>
      <w:r>
        <w:t xml:space="preserve"> We will adopt a principled process on missing data that empirically evaluates different aspects across partially observed covariates based on three group diagnostics.</w:t>
      </w:r>
      <w:r>
        <w:rPr>
          <w:vertAlign w:val="superscript"/>
        </w:rPr>
        <w:t>34, 35</w:t>
      </w:r>
      <w:r>
        <w:t xml:space="preserve"> These diagnostics cover (1) comparisons of patients characteristics with and without an observed level of the partially observed covariate, (2) ability to predict missingness given observed data, and (3) assessments if outcomes between </w:t>
      </w:r>
      <w:r>
        <w:lastRenderedPageBreak/>
        <w:t>patients with a missing value are systematically different. Expert domain knowledge and assumptions about the underlying missing data structure through canonical causal diagrams</w:t>
      </w:r>
      <w:r>
        <w:rPr>
          <w:vertAlign w:val="superscript"/>
        </w:rPr>
        <w:t>36</w:t>
      </w:r>
      <w:r>
        <w:t xml:space="preserve"> will additionally inform decisions regarding the inclusion or exclusion of patients with missing values in key eligibility criteria and potential sensitivity analyses to assess the robustness of these decisions.</w:t>
      </w:r>
      <w:r>
        <w:rPr>
          <w:vertAlign w:val="superscript"/>
        </w:rPr>
        <w:t>37</w:t>
      </w:r>
    </w:p>
    <w:p w:rsidR="00B51624" w:rsidRDefault="00000000">
      <w:pPr>
        <w:pStyle w:val="BodyText"/>
      </w:pPr>
      <w:r>
        <w:t>While the MAR assumption is a strong assumption to hold across all considered covariates, it has been shown that especially in the context of partially observed covariate data (as opposed to missing exposure and outcome data), only mechanisms in which a covariate causes its own missingness lead to critical bias (MNAR).</w:t>
      </w:r>
      <w:r>
        <w:rPr>
          <w:vertAlign w:val="superscript"/>
        </w:rPr>
        <w:t>36</w:t>
      </w:r>
      <w:r>
        <w:t xml:space="preserve"> Hence, methodologies which retain patients and give the potential to adjust for a broader set of prognostic factors (e.g., multiple imputation</w:t>
      </w:r>
      <w:r>
        <w:rPr>
          <w:vertAlign w:val="superscript"/>
        </w:rPr>
        <w:t>38</w:t>
      </w:r>
      <w:r>
        <w:t xml:space="preserve"> or doubly robust methods</w:t>
      </w:r>
      <w:r>
        <w:rPr>
          <w:vertAlign w:val="superscript"/>
        </w:rPr>
        <w:t>39</w:t>
      </w:r>
      <w:r>
        <w:t>) may be preferred over complete case analyses.</w:t>
      </w:r>
    </w:p>
    <w:p w:rsidR="00B51624" w:rsidRDefault="00000000">
      <w:pPr>
        <w:pStyle w:val="Heading3"/>
      </w:pPr>
      <w:bookmarkStart w:id="13" w:name="outcome-and-propensity-score-analyses"/>
      <w:bookmarkEnd w:id="12"/>
      <w:r>
        <w:t>Outcome and propensity score analyses</w:t>
      </w:r>
    </w:p>
    <w:p w:rsidR="00B51624" w:rsidRDefault="00000000">
      <w:pPr>
        <w:pStyle w:val="FirstParagraph"/>
      </w:pPr>
      <w:r>
        <w:t>Due to its ubiquity in oncology trials, the primary parameter of interest in ENCORE will be defined as the marginal hazard ratio (HR) coefficient for the treatment comparison for OS.</w:t>
      </w:r>
      <w:r>
        <w:rPr>
          <w:vertAlign w:val="superscript"/>
        </w:rPr>
        <w:t>40</w:t>
      </w:r>
      <w:r>
        <w:t xml:space="preserve"> We will also consider alternative endpoints on an absolute risk scale such as median survival times, survival probabilities at pre-defined time points during follow-up</w:t>
      </w:r>
      <w:r>
        <w:rPr>
          <w:vertAlign w:val="superscript"/>
        </w:rPr>
        <w:t>41</w:t>
      </w:r>
      <w:r>
        <w:t xml:space="preserve"> and restricted mean survival times as secondary endpoints of interest.</w:t>
      </w:r>
    </w:p>
    <w:p w:rsidR="00B51624" w:rsidRDefault="00000000">
      <w:pPr>
        <w:pStyle w:val="BodyText"/>
      </w:pPr>
      <w:r>
        <w:t>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42</w:t>
      </w:r>
      <w:r>
        <w:t xml:space="preserve"> The implementation of propensity scores in combination with multiple imputation will follow the ‘</w:t>
      </w:r>
      <w:r>
        <w:rPr>
          <w:i/>
          <w:iCs/>
        </w:rPr>
        <w:t>within</w:t>
      </w:r>
      <w:r>
        <w:t>’ methodology as described by Leyrat et al.</w:t>
      </w:r>
      <w:r>
        <w:rPr>
          <w:vertAlign w:val="superscript"/>
        </w:rPr>
        <w:t>43, 44</w:t>
      </w:r>
      <w:r>
        <w:t xml:space="preserve"> 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45, 46</w:t>
      </w:r>
      <w:r>
        <w:t xml:space="preserve"> This approach has been shown to lead to unbiased estimates across different simulated scenarios with a sufficient estimation of the variance.</w:t>
      </w:r>
      <w:r>
        <w:rPr>
          <w:vertAlign w:val="superscript"/>
        </w:rPr>
        <w:t>43</w:t>
      </w:r>
    </w:p>
    <w:p w:rsidR="00B51624" w:rsidRDefault="00000000">
      <w:pPr>
        <w:pStyle w:val="BodyText"/>
      </w:pPr>
      <w:r>
        <w:lastRenderedPageBreak/>
        <w:t xml:space="preserve">To asses the balance of pre-exposure covariates after matching or weighting on each imputed dataset, the average SMD and corresponding minimum and maximum SMD range will be visualized (see example in </w:t>
      </w:r>
      <w:hyperlink w:anchor="fig-balance">
        <w:r>
          <w:rPr>
            <w:rStyle w:val="Hyperlink"/>
          </w:rPr>
          <w:t>Figure 3</w:t>
        </w:r>
      </w:hyperlink>
      <w:r>
        <w:t>). Covariate balance is often reasonably considered at a SMD &lt; 0.1.</w:t>
      </w:r>
      <w:r>
        <w:rPr>
          <w:vertAlign w:val="superscript"/>
        </w:rPr>
        <w:t>47</w:t>
      </w:r>
      <w:r>
        <w:t xml:space="preserve"> Further, we will compute the average post-matching or post-weighting C-statistics.</w:t>
      </w:r>
      <w:r>
        <w:rPr>
          <w:vertAlign w:val="superscript"/>
        </w:rPr>
        <w:t>48</w:t>
      </w:r>
      <w:r>
        <w:t xml:space="preserve"> In addition, we will use a published prognostic score for OS</w:t>
      </w:r>
      <w:r>
        <w:rPr>
          <w:vertAlign w:val="superscript"/>
        </w:rPr>
        <w:t>42</w:t>
      </w:r>
      <w:r>
        <w:t xml:space="preserve"> 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49</w:t>
      </w:r>
    </w:p>
    <w:p w:rsidR="00B51624" w:rsidRDefault="00000000">
      <w:pPr>
        <w:pStyle w:val="BodyText"/>
      </w:pPr>
      <w:r>
        <w:t>Similarly, survival probabilities for individual time points will be estimated in each imputed and propensity score matched or weighted dataset according to the Kaplan-Meier method.</w:t>
      </w:r>
      <w:r>
        <w:rPr>
          <w:vertAlign w:val="superscript"/>
        </w:rPr>
        <w:t>41</w:t>
      </w:r>
      <w:r>
        <w:t xml:space="preserve"> Since survival probabilities typically do not follow normal distributions which are required to apply Rubin’s rule, these will be transformed through a complementary log-log transformation </w:t>
      </w:r>
      <m:oMath>
        <m:r>
          <w:rPr>
            <w:rFonts w:ascii="Cambria Math" w:hAnsi="Cambria Math"/>
          </w:rPr>
          <m:t>log</m:t>
        </m:r>
        <m:d>
          <m:dPr>
            <m:ctrlPr>
              <w:rPr>
                <w:rFonts w:ascii="Cambria Math" w:hAnsi="Cambria Math"/>
              </w:rPr>
            </m:ctrlPr>
          </m:dPr>
          <m:e>
            <m:r>
              <m:rPr>
                <m:sty m:val="p"/>
              </m:rPr>
              <w:rPr>
                <w:rFonts w:ascii="Cambria Math" w:hAnsi="Cambria Math"/>
              </w:rPr>
              <m:t>-</m:t>
            </m:r>
            <m:r>
              <w:rPr>
                <w:rFonts w:ascii="Cambria Math" w:hAnsi="Cambria Math"/>
              </w:rPr>
              <m:t>log</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surv</m:t>
                    </m:r>
                  </m:e>
                </m:d>
              </m:e>
            </m:d>
          </m:e>
        </m:d>
      </m:oMath>
      <w:r>
        <w:t xml:space="preserve"> with </w:t>
      </w:r>
      <m:oMath>
        <m:r>
          <w:rPr>
            <w:rFonts w:ascii="Cambria Math" w:hAnsi="Cambria Math"/>
          </w:rPr>
          <m:t>pr</m:t>
        </m:r>
        <m:d>
          <m:dPr>
            <m:ctrlPr>
              <w:rPr>
                <w:rFonts w:ascii="Cambria Math" w:hAnsi="Cambria Math"/>
              </w:rPr>
            </m:ctrlPr>
          </m:dPr>
          <m:e>
            <m:r>
              <w:rPr>
                <w:rFonts w:ascii="Cambria Math" w:hAnsi="Cambria Math"/>
              </w:rPr>
              <m:t>surv</m:t>
            </m:r>
          </m:e>
        </m:d>
      </m:oMath>
      <w:r>
        <w:t xml:space="preserve"> denoting the survival probability at a given time during follow-up.</w:t>
      </w:r>
      <w:r>
        <w:rPr>
          <w:vertAlign w:val="superscript"/>
        </w:rPr>
        <w:t>50, 51</w:t>
      </w:r>
      <w:r>
        <w:t xml:space="preserve"> The transformed survival probabilities are then pooled across imputed datasets and individual time points following Rubin’s rule and back-transformed via </w:t>
      </w:r>
      <m:oMath>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qbar</m:t>
                </m:r>
              </m:e>
            </m:d>
          </m:e>
        </m:d>
      </m:oMath>
      <w:r>
        <w:t xml:space="preserve"> with </w:t>
      </w:r>
      <m:oMath>
        <m:r>
          <w:rPr>
            <w:rFonts w:ascii="Cambria Math" w:hAnsi="Cambria Math"/>
          </w:rPr>
          <m:t>qbar</m:t>
        </m:r>
      </m:oMath>
      <w:r>
        <w:t xml:space="preserve"> denoting the pooled survival probability. The median survival time can be finally determined by extracting the time point during follow-up at which the survival probability drops below 0.5 for the first time.</w:t>
      </w:r>
    </w:p>
    <w:p w:rsidR="00B51624" w:rsidRDefault="00000000">
      <w:pPr>
        <w:pStyle w:val="Heading3"/>
      </w:pPr>
      <w:bookmarkStart w:id="14" w:name="sensitivity-analyses"/>
      <w:bookmarkEnd w:id="13"/>
      <w:r>
        <w:t>Sensitivity analyses</w:t>
      </w:r>
    </w:p>
    <w:p w:rsidR="00B51624" w:rsidRDefault="00000000">
      <w:pPr>
        <w:pStyle w:val="FirstParagraph"/>
      </w:pPr>
      <w:r>
        <w:t>With the goal to better understand which factors could influence a difference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p w:rsidR="00B51624" w:rsidRDefault="00000000">
      <w:pPr>
        <w:pStyle w:val="Heading3"/>
      </w:pPr>
      <w:bookmarkStart w:id="15" w:name="X6801d5ea0029348ccebf6f56cafab146f7aa92b"/>
      <w:bookmarkEnd w:id="14"/>
      <w:r>
        <w:lastRenderedPageBreak/>
        <w:t>Reproducibility and consistency across emulation</w:t>
      </w:r>
    </w:p>
    <w:p w:rsidR="00B51624" w:rsidRDefault="00000000">
      <w:pPr>
        <w:pStyle w:val="FirstParagraph"/>
      </w:pPr>
      <w:r>
        <w:t xml:space="preserve">To ensure a transparent, reproducible and consistent way of deriving analytic cohorts and performing statistical analyses across trial emulations, we developed two R packages. The first package, </w:t>
      </w:r>
      <w:r>
        <w:rPr>
          <w:rStyle w:val="VerbatimChar"/>
        </w:rPr>
        <w:t>encore.io,</w:t>
      </w:r>
      <w:r>
        <w:t xml:space="preserve"> streamlines the query of analytic cohorts and measurement of covariates and outcomes using parameterized functions. Due to the blinding of databases used for ENCORE, this package cannot be made public but we provide a comprehensive and detailed documentation for each function in the Supplementary Material. A second open-source R package, </w:t>
      </w:r>
      <w:r>
        <w:rPr>
          <w:rStyle w:val="VerbatimChar"/>
        </w:rPr>
        <w:t>encore.analytics</w:t>
      </w:r>
      <w:r>
        <w:t>,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52–57</w:t>
      </w:r>
      <w:r>
        <w:t xml:space="preserve"> Simulated examples with code that illustrate the analytic workflows described in this manuscript are available in the online Supplementary Material at </w:t>
      </w:r>
      <w:hyperlink r:id="rId10">
        <w:r>
          <w:rPr>
            <w:rStyle w:val="Hyperlink"/>
          </w:rPr>
          <w:t>https://janickweberpals.github.io/imputation-ps-workflows/</w:t>
        </w:r>
      </w:hyperlink>
      <w:r>
        <w:t xml:space="preserve"> and can be reproduced via the </w:t>
      </w:r>
      <w:r>
        <w:rPr>
          <w:rStyle w:val="VerbatimChar"/>
        </w:rPr>
        <w:t>encore.analytics</w:t>
      </w:r>
      <w:r>
        <w:t xml:space="preserve"> R package (</w:t>
      </w:r>
      <w:hyperlink r:id="rId11">
        <w:r>
          <w:rPr>
            <w:rStyle w:val="Hyperlink"/>
          </w:rPr>
          <w:t>https://github.com/janickweberpals/encore.analytics/</w:t>
        </w:r>
      </w:hyperlink>
      <w:r>
        <w:t>).</w:t>
      </w:r>
    </w:p>
    <w:p w:rsidR="00B51624" w:rsidRDefault="00000000">
      <w:r>
        <w:br w:type="page"/>
      </w:r>
    </w:p>
    <w:p w:rsidR="00B51624" w:rsidRDefault="00000000">
      <w:pPr>
        <w:pStyle w:val="Heading1"/>
      </w:pPr>
      <w:bookmarkStart w:id="16" w:name="discussion"/>
      <w:bookmarkEnd w:id="2"/>
      <w:bookmarkEnd w:id="11"/>
      <w:bookmarkEnd w:id="15"/>
      <w:r>
        <w:lastRenderedPageBreak/>
        <w:t>Discussion</w:t>
      </w:r>
    </w:p>
    <w:p w:rsidR="00B51624" w:rsidRDefault="00000000">
      <w:pPr>
        <w:pStyle w:val="FirstParagraph"/>
      </w:pPr>
      <w:r>
        <w:t>Building on an established approach developed by the RCT DUPLICATE project</w:t>
      </w:r>
      <w:r>
        <w:rPr>
          <w:vertAlign w:val="superscript"/>
        </w:rPr>
        <w:t>9, 31</w:t>
      </w:r>
      <w:r>
        <w:t>,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which are more fit for use in oncology than claims due to availability of clinical data elements, and a maturing set of methodological approaches for causal inference using such data, the ENCORE project is one of the first of its kind to evaluate when and how RWD can be used to evaluate similar causal conclusions compared to RCTs in the field of oncology.</w:t>
      </w:r>
    </w:p>
    <w:p w:rsidR="00B51624" w:rsidRDefault="00000000">
      <w:pPr>
        <w:pStyle w:val="BodyText"/>
      </w:pPr>
      <w:r>
        <w:t>The RCT DUPLICATE initiative</w:t>
      </w:r>
      <w:r>
        <w:rPr>
          <w:vertAlign w:val="superscript"/>
        </w:rPr>
        <w:t>9, 31</w:t>
      </w:r>
      <w:r>
        <w:t xml:space="preserve"> identified multiple emulation challenges that may be similar in ENCORE. One particular aspect that we may not always be able to emulate is the exact distribution of patient characteristics of the trial population, or that the comparability between these two populations may not be known. This can be due to the lack of RWD granularity and comprehensiveness to emulate relevant eligibility criteria or the fact that large pivotal trials in oncology are typically conducted in multiple countries worldwide (all considered databases reflect the US only). This may be a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certain geographic regions compared to the US.</w:t>
      </w:r>
    </w:p>
    <w:p w:rsidR="00B51624" w:rsidRDefault="00000000">
      <w:pPr>
        <w:pStyle w:val="BodyText"/>
      </w:pPr>
      <w:r>
        <w:t xml:space="preserve">Another common challenge in the emulation of oncology trials is the estimation of an “treatment policy”/“intention-to-treat” 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w:t>
      </w:r>
      <w:r>
        <w:lastRenderedPageBreak/>
        <w:t>between trial and emulation.</w:t>
      </w:r>
      <w:r>
        <w:rPr>
          <w:vertAlign w:val="superscript"/>
        </w:rPr>
        <w:t>27</w:t>
      </w:r>
      <w:r>
        <w:t xml:space="preserve"> Although this is also a common challenge in the analysis of RCTs,</w:t>
      </w:r>
      <w:r>
        <w:rPr>
          <w:vertAlign w:val="superscript"/>
        </w:rPr>
        <w:t>26</w:t>
      </w:r>
      <w:r>
        <w:t xml:space="preserve"> treatment practice in routine clinical practice might be less stringent compared to trials.</w:t>
      </w:r>
      <w:r>
        <w:rPr>
          <w:vertAlign w:val="superscript"/>
        </w:rPr>
        <w:t>8</w:t>
      </w:r>
      <w:r>
        <w:t xml:space="preserve"> In order to derive comparable estimands it is therefore crucial to understand and contextualize the proportion and timing of treatment switching and discontinuation in both the trial and its emulation.</w:t>
      </w:r>
    </w:p>
    <w:p w:rsidR="00B51624" w:rsidRDefault="00000000">
      <w:pPr>
        <w:pStyle w:val="BodyText"/>
      </w:pPr>
      <w:r>
        <w:t>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58</w:t>
      </w:r>
      <w:r>
        <w:t xml:space="preserve"> may be viable options if the ITT estimand cannot be estimated due to the aforementioned parameters, provided that necessary covariate measurements are available to account for the artificial censoring introduced with these methods.</w:t>
      </w:r>
    </w:p>
    <w:p w:rsidR="00B51624" w:rsidRDefault="00000000">
      <w:pPr>
        <w:pStyle w:val="Heading2"/>
      </w:pPr>
      <w:bookmarkStart w:id="17" w:name="conclusions"/>
      <w:r>
        <w:t>Conclusions</w:t>
      </w:r>
    </w:p>
    <w:p w:rsidR="00B51624" w:rsidRDefault="00000000">
      <w:pPr>
        <w:pStyle w:val="FirstParagraph"/>
      </w:pPr>
      <w:r>
        <w:t>RWE based on fit-for-purpose data and principled, well-designed and reproducible studies may complement evidence from RCTs. Through a systematic benchmarking approach, the ENCORE project will provide insights as to how measurement, design and analytic decisions influence bias and validity in oncological non-interventional studies.</w:t>
      </w:r>
    </w:p>
    <w:p w:rsidR="00B51624" w:rsidRDefault="00000000">
      <w:r>
        <w:br w:type="page"/>
      </w:r>
    </w:p>
    <w:p w:rsidR="00B51624" w:rsidRDefault="00000000">
      <w:pPr>
        <w:pStyle w:val="Heading1"/>
      </w:pPr>
      <w:bookmarkStart w:id="18" w:name="references"/>
      <w:bookmarkEnd w:id="16"/>
      <w:bookmarkEnd w:id="17"/>
      <w:r>
        <w:lastRenderedPageBreak/>
        <w:t>References</w:t>
      </w:r>
    </w:p>
    <w:p w:rsidR="00B51624" w:rsidRDefault="00000000">
      <w:pPr>
        <w:pStyle w:val="Bibliography"/>
      </w:pPr>
      <w:bookmarkStart w:id="19" w:name="ref-RWEFDA"/>
      <w:bookmarkStart w:id="20" w:name="refs"/>
      <w:r>
        <w:rPr>
          <w:b/>
          <w:bCs/>
        </w:rPr>
        <w:t>1</w:t>
      </w:r>
      <w:r>
        <w:t xml:space="preserve">. Framework for FDA’s real-world evidence program (last accessed 11/28/2024) [Internet], 2018Available from: </w:t>
      </w:r>
      <w:hyperlink r:id="rId12">
        <w:r>
          <w:rPr>
            <w:rStyle w:val="Hyperlink"/>
          </w:rPr>
          <w:t>https://www.fda.gov/media/120060/download?attachment</w:t>
        </w:r>
      </w:hyperlink>
    </w:p>
    <w:p w:rsidR="00B51624" w:rsidRDefault="00000000">
      <w:pPr>
        <w:pStyle w:val="Bibliography"/>
      </w:pPr>
      <w:bookmarkStart w:id="21" w:name="ref-purpura2022role"/>
      <w:bookmarkEnd w:id="19"/>
      <w:r>
        <w:rPr>
          <w:b/>
          <w:bCs/>
        </w:rPr>
        <w:t>2</w:t>
      </w:r>
      <w:r>
        <w:t>. Purpura CA, Garry EM, Honig N, et al: The role of real-world evidence in FDA-approved new drug and biologics license applications. Clinical Pharmacology &amp; Therapeutics 111:135–144, 2022</w:t>
      </w:r>
    </w:p>
    <w:p w:rsidR="00B51624" w:rsidRDefault="00000000">
      <w:pPr>
        <w:pStyle w:val="Bibliography"/>
      </w:pPr>
      <w:bookmarkStart w:id="22" w:name="ref-senior2024fresh"/>
      <w:bookmarkEnd w:id="21"/>
      <w:r>
        <w:rPr>
          <w:b/>
          <w:bCs/>
        </w:rPr>
        <w:t>3</w:t>
      </w:r>
      <w:r>
        <w:t>. Senior M: Fresh from the biotech pipeline: Record-breaking FDA approvals. Nature Biotechnology, 2024</w:t>
      </w:r>
    </w:p>
    <w:p w:rsidR="00B51624" w:rsidRDefault="00000000">
      <w:pPr>
        <w:pStyle w:val="Bibliography"/>
      </w:pPr>
      <w:bookmarkStart w:id="23" w:name="ref-Merola2022"/>
      <w:bookmarkEnd w:id="22"/>
      <w:r>
        <w:rPr>
          <w:b/>
          <w:bCs/>
        </w:rPr>
        <w:t>4</w:t>
      </w:r>
      <w:r>
        <w:t xml:space="preserve">. Merola D, Schneeweiss S, Schrag D, et al: An algorithm to predict data completeness in oncology electronic medical records for comparative effectiveness research [Internet]. Annals of Epidemiology 76:143–149, 2022Available from: </w:t>
      </w:r>
      <w:hyperlink r:id="rId13">
        <w:r>
          <w:rPr>
            <w:rStyle w:val="Hyperlink"/>
          </w:rPr>
          <w:t>http://dx.doi.org/10.1016/j.annepidem.2022.07.007</w:t>
        </w:r>
      </w:hyperlink>
    </w:p>
    <w:p w:rsidR="00B51624" w:rsidRDefault="00000000">
      <w:pPr>
        <w:pStyle w:val="Bibliography"/>
      </w:pPr>
      <w:bookmarkStart w:id="24" w:name="ref-joshua2022longitudinal"/>
      <w:bookmarkEnd w:id="23"/>
      <w:r>
        <w:rPr>
          <w:b/>
          <w:bCs/>
        </w:rPr>
        <w:t>5</w:t>
      </w:r>
      <w:r>
        <w:t>. Joshua Lin K, Jin Y, Gagne J, et al: Longitudinal data discontinuity in electronic health records and consequences for medication effectiveness studies. Clinical Pharmacology &amp; Therapeutics 111:243–251, 2022</w:t>
      </w:r>
    </w:p>
    <w:p w:rsidR="00B51624" w:rsidRDefault="00000000">
      <w:pPr>
        <w:pStyle w:val="Bibliography"/>
      </w:pPr>
      <w:bookmarkStart w:id="25" w:name="ref-rider2024emulations"/>
      <w:bookmarkEnd w:id="24"/>
      <w:r>
        <w:rPr>
          <w:b/>
          <w:bCs/>
        </w:rPr>
        <w:t>6</w:t>
      </w:r>
      <w:r>
        <w:t>. Rider JR, Wasserman A, Slipski L, et al: Emulations of oncology trials using real-world data: A systematic literature review. American journal of epidemiology kwae346, 2024</w:t>
      </w:r>
    </w:p>
    <w:p w:rsidR="00B51624" w:rsidRDefault="00000000">
      <w:pPr>
        <w:pStyle w:val="Bibliography"/>
      </w:pPr>
      <w:bookmarkStart w:id="26" w:name="ref-merola2023aetion"/>
      <w:bookmarkEnd w:id="25"/>
      <w:r>
        <w:rPr>
          <w:b/>
          <w:bCs/>
        </w:rPr>
        <w:t>7</w:t>
      </w:r>
      <w:r>
        <w:t>. Merola D, Campbell U, Gautam N, et al: The aetion coalition to advance real-world evidence through randomized controlled trial emulation initiative: oncology. Clinical Pharmacology &amp; Therapeutics 113:1217–1222, 2023</w:t>
      </w:r>
    </w:p>
    <w:p w:rsidR="00B51624" w:rsidRDefault="00000000">
      <w:pPr>
        <w:pStyle w:val="Bibliography"/>
      </w:pPr>
      <w:bookmarkStart w:id="27" w:name="ref-merola2024calibrating"/>
      <w:bookmarkEnd w:id="26"/>
      <w:r>
        <w:rPr>
          <w:b/>
          <w:bCs/>
        </w:rPr>
        <w:t>8</w:t>
      </w:r>
      <w:r>
        <w:t>. Merola D, Campbell U, Lenis D, et al: Calibrating observational health record data against a randomized trial. JAMA Network Open 7:e2436535–e2436535, 2024</w:t>
      </w:r>
    </w:p>
    <w:p w:rsidR="00B51624" w:rsidRDefault="00000000">
      <w:pPr>
        <w:pStyle w:val="Bibliography"/>
      </w:pPr>
      <w:bookmarkStart w:id="28" w:name="ref-wang2023emulation"/>
      <w:bookmarkEnd w:id="27"/>
      <w:r>
        <w:rPr>
          <w:b/>
          <w:bCs/>
        </w:rPr>
        <w:t>9</w:t>
      </w:r>
      <w:r>
        <w:t xml:space="preserve">. Wang SV, Schneeweiss S, Franklin JM, et al: </w:t>
      </w:r>
      <w:hyperlink r:id="rId14">
        <w:r>
          <w:rPr>
            <w:rStyle w:val="Hyperlink"/>
          </w:rPr>
          <w:t>Emulation of randomized clinical trials with nonrandomized database analyses: Results of 32 clinical trials</w:t>
        </w:r>
      </w:hyperlink>
      <w:r>
        <w:t>. Jama 329:1376–1385, 2023</w:t>
      </w:r>
    </w:p>
    <w:p w:rsidR="00B51624" w:rsidRDefault="00000000">
      <w:pPr>
        <w:pStyle w:val="Bibliography"/>
      </w:pPr>
      <w:bookmarkStart w:id="29" w:name="ref-heyard2024design"/>
      <w:bookmarkEnd w:id="28"/>
      <w:r>
        <w:rPr>
          <w:b/>
          <w:bCs/>
        </w:rPr>
        <w:t>10</w:t>
      </w:r>
      <w:r>
        <w:t xml:space="preserve">. Heyard R, Held L, Schneeweiss S, et al: Design differences and variation in results between randomised trials and non-randomised emulations: Meta-analysis of RCT-DUPLICATE data [Internet]. BMJ medicine 3, 2024Available from: </w:t>
      </w:r>
      <w:hyperlink r:id="rId15">
        <w:r>
          <w:rPr>
            <w:rStyle w:val="Hyperlink"/>
          </w:rPr>
          <w:t>https://doi.org/10.1136/bmjmed-2023-000709</w:t>
        </w:r>
      </w:hyperlink>
    </w:p>
    <w:p w:rsidR="00B51624" w:rsidRDefault="00000000">
      <w:pPr>
        <w:pStyle w:val="Bibliography"/>
      </w:pPr>
      <w:bookmarkStart w:id="30" w:name="ref-encoreFDA"/>
      <w:bookmarkEnd w:id="29"/>
      <w:r>
        <w:rPr>
          <w:b/>
          <w:bCs/>
        </w:rPr>
        <w:t>11</w:t>
      </w:r>
      <w:r>
        <w:t xml:space="preserve">. Calibrating real-world evidence studies in oncology against randomized trials: ENCORE (last accessed 11/28/2024) [Internet], 2024Available from: </w:t>
      </w:r>
      <w:hyperlink r:id="rId16">
        <w:r>
          <w:rPr>
            <w:rStyle w:val="Hyperlink"/>
          </w:rPr>
          <w:t>https://www.fda.gov/about-fda/oncology-center-excellence/calibrating-real-world-evidence-studies-oncology-against-randomized-trials-encore</w:t>
        </w:r>
      </w:hyperlink>
    </w:p>
    <w:p w:rsidR="00B51624" w:rsidRDefault="00000000">
      <w:pPr>
        <w:pStyle w:val="Bibliography"/>
      </w:pPr>
      <w:bookmarkStart w:id="31" w:name="ref-rivera2024oncology"/>
      <w:bookmarkEnd w:id="30"/>
      <w:r>
        <w:rPr>
          <w:b/>
          <w:bCs/>
        </w:rPr>
        <w:lastRenderedPageBreak/>
        <w:t>12</w:t>
      </w:r>
      <w:r>
        <w:t>. Rivera DR, Eckert JC, Rodriguez-Watson C, et al: The oncology QCARD initiative: Fostering efficient evaluation of initial real-world data proposals. Pharmacoepidemiology and Drug Safety 33:e5818, 2024</w:t>
      </w:r>
    </w:p>
    <w:p w:rsidR="00B51624" w:rsidRDefault="00000000">
      <w:pPr>
        <w:pStyle w:val="Bibliography"/>
      </w:pPr>
      <w:bookmarkStart w:id="32" w:name="ref-gatto2022structured"/>
      <w:bookmarkEnd w:id="31"/>
      <w:r>
        <w:rPr>
          <w:b/>
          <w:bCs/>
        </w:rPr>
        <w:t>13</w:t>
      </w:r>
      <w:r>
        <w:t>. Gatto NM, Campbell UB, Rubinstein E, et al: The structured process to identify fit-for-purpose data: A data feasibility assessment framework. Clinical Pharmacology &amp; Therapeutics 111:122–134, 2022</w:t>
      </w:r>
    </w:p>
    <w:p w:rsidR="00B51624" w:rsidRDefault="00000000">
      <w:pPr>
        <w:pStyle w:val="Bibliography"/>
      </w:pPr>
      <w:bookmarkStart w:id="33" w:name="ref-tasneem2012database"/>
      <w:bookmarkEnd w:id="32"/>
      <w:r>
        <w:rPr>
          <w:b/>
          <w:bCs/>
        </w:rPr>
        <w:t>14</w:t>
      </w:r>
      <w:r>
        <w:t>. Tasneem A, Aberle L, Ananth H, et al: The database for aggregate analysis of ClinicalTrials. Gov (AACT) and subsequent regrouping by clinical specialty. PloS one 7:e33677, 2012</w:t>
      </w:r>
    </w:p>
    <w:p w:rsidR="00B51624" w:rsidRDefault="00000000">
      <w:pPr>
        <w:pStyle w:val="Bibliography"/>
      </w:pPr>
      <w:bookmarkStart w:id="34" w:name="ref-eisenhauer2009new"/>
      <w:bookmarkEnd w:id="33"/>
      <w:r>
        <w:rPr>
          <w:b/>
          <w:bCs/>
        </w:rPr>
        <w:t>15</w:t>
      </w:r>
      <w:r>
        <w:t>. Eisenhauer EA, Therasse P, Bogaerts J, et al: New response evaluation criteria in solid tumours: Revised RECIST guideline (version 1.1). European journal of cancer 45:228–247, 2009</w:t>
      </w:r>
    </w:p>
    <w:p w:rsidR="00B51624" w:rsidRDefault="00000000">
      <w:pPr>
        <w:pStyle w:val="Bibliography"/>
      </w:pPr>
      <w:bookmarkStart w:id="35" w:name="ref-ThanCCR"/>
      <w:bookmarkEnd w:id="34"/>
      <w:r>
        <w:rPr>
          <w:b/>
          <w:bCs/>
        </w:rPr>
        <w:t>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 </w:t>
      </w:r>
      <w:hyperlink r:id="rId17">
        <w:r>
          <w:rPr>
            <w:rStyle w:val="Hyperlink"/>
          </w:rPr>
          <w:t>https://doi.org/10.1158/1078-0432.CCR-22-0471</w:t>
        </w:r>
      </w:hyperlink>
    </w:p>
    <w:p w:rsidR="00B51624" w:rsidRDefault="00000000">
      <w:pPr>
        <w:pStyle w:val="Bibliography"/>
      </w:pPr>
      <w:bookmarkStart w:id="36" w:name="ref-mckelvey2024evaluation"/>
      <w:bookmarkEnd w:id="35"/>
      <w:r>
        <w:rPr>
          <w:b/>
          <w:bCs/>
        </w:rPr>
        <w:t>17</w:t>
      </w:r>
      <w:r>
        <w:t>.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p w:rsidR="00B51624" w:rsidRDefault="00000000">
      <w:pPr>
        <w:pStyle w:val="Bibliography"/>
      </w:pPr>
      <w:bookmarkStart w:id="37" w:name="ref-rwdRECIST"/>
      <w:bookmarkEnd w:id="36"/>
      <w:r>
        <w:rPr>
          <w:b/>
          <w:bCs/>
        </w:rPr>
        <w:t>18</w:t>
      </w:r>
      <w:r>
        <w:t xml:space="preserve">. Chen L, Davis R, Lee J, et al: Comparison of response from RECIST1.1 and abstraction in real-world patients with lung cancer. [Internet]. Journal of Clinical Oncology 41:e21194–e21194, 2023Available from: </w:t>
      </w:r>
      <w:hyperlink r:id="rId18">
        <w:r>
          <w:rPr>
            <w:rStyle w:val="Hyperlink"/>
          </w:rPr>
          <w:t>https://ascopubs.org/doi/abs/10.1200/JCO.2023.41.16_suppl.e21194</w:t>
        </w:r>
      </w:hyperlink>
    </w:p>
    <w:p w:rsidR="00B51624" w:rsidRDefault="00000000">
      <w:pPr>
        <w:pStyle w:val="Bibliography"/>
      </w:pPr>
      <w:bookmarkStart w:id="38" w:name="ref-rivera2022friends"/>
      <w:bookmarkEnd w:id="37"/>
      <w:r>
        <w:rPr>
          <w:b/>
          <w:bCs/>
        </w:rPr>
        <w:t>19</w:t>
      </w:r>
      <w:r>
        <w:t>. Rivera DR, Henk HJ, Garrett-Mayer E, et al: The friends of cancer research real-world data collaboration pilot 2.0: Methodological recommendations from oncology case studies. Clinical Pharmacology &amp; Therapeutics 111:283–292, 2022</w:t>
      </w:r>
    </w:p>
    <w:p w:rsidR="00B51624" w:rsidRDefault="00000000">
      <w:pPr>
        <w:pStyle w:val="Bibliography"/>
      </w:pPr>
      <w:bookmarkStart w:id="39" w:name="ref-ackerman2024measurement"/>
      <w:bookmarkEnd w:id="38"/>
      <w:r>
        <w:rPr>
          <w:b/>
          <w:bCs/>
        </w:rPr>
        <w:t>20</w:t>
      </w:r>
      <w:r>
        <w:t>. Ackerman B, Gan RW, Meyer CS, et al: Measurement error and bias in real-world oncology endpoints when constructing external control arms. Frontiers in Drug Safety and Regulation 4:1423493, 2024</w:t>
      </w:r>
    </w:p>
    <w:p w:rsidR="00B51624" w:rsidRDefault="00000000">
      <w:pPr>
        <w:pStyle w:val="Bibliography"/>
      </w:pPr>
      <w:bookmarkStart w:id="40" w:name="ref-nikolakopoulou2014interpret"/>
      <w:bookmarkEnd w:id="39"/>
      <w:r>
        <w:rPr>
          <w:b/>
          <w:bCs/>
        </w:rPr>
        <w:t>21</w:t>
      </w:r>
      <w:r>
        <w:t>. Nikolakopoulou A, Mavridis D, Salanti G: How to interpret meta-analysis models: Fixed effect and random effects meta-analyses. BMJ Ment Health 17:64–64, 2014</w:t>
      </w:r>
    </w:p>
    <w:p w:rsidR="00B51624" w:rsidRDefault="00000000">
      <w:pPr>
        <w:pStyle w:val="Bibliography"/>
      </w:pPr>
      <w:bookmarkStart w:id="41" w:name="ref-wang2022harmonized"/>
      <w:bookmarkEnd w:id="40"/>
      <w:r>
        <w:rPr>
          <w:b/>
          <w:bCs/>
        </w:rPr>
        <w:t>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 </w:t>
      </w:r>
      <w:hyperlink r:id="rId19">
        <w:r>
          <w:rPr>
            <w:rStyle w:val="Hyperlink"/>
          </w:rPr>
          <w:t>https://doi.org/10.1016/j.jval.2022.09.001</w:t>
        </w:r>
      </w:hyperlink>
    </w:p>
    <w:p w:rsidR="00B51624" w:rsidRDefault="00000000">
      <w:pPr>
        <w:pStyle w:val="Bibliography"/>
      </w:pPr>
      <w:bookmarkStart w:id="42" w:name="ref-guidelinegeneral"/>
      <w:bookmarkEnd w:id="41"/>
      <w:r>
        <w:rPr>
          <w:b/>
          <w:bCs/>
        </w:rPr>
        <w:t>23</w:t>
      </w:r>
      <w:r>
        <w:t xml:space="preserve">. ICH guideline. General principles on plan, design and analysis of pharmacoepidemiological studies that utilize real-world data for safety assessment of </w:t>
      </w:r>
      <w:r>
        <w:lastRenderedPageBreak/>
        <w:t>medicines M14. Available from: Https://database.ich.org/sites/default/files/ICH_M14_Step3_DraftGuideline_2024_0521.pdf (last accessed 01/07/2025)</w:t>
      </w:r>
    </w:p>
    <w:p w:rsidR="00B51624" w:rsidRDefault="00000000">
      <w:pPr>
        <w:pStyle w:val="Bibliography"/>
      </w:pPr>
      <w:bookmarkStart w:id="43" w:name="ref-hernan2022target"/>
      <w:bookmarkEnd w:id="42"/>
      <w:r>
        <w:rPr>
          <w:b/>
          <w:bCs/>
        </w:rPr>
        <w:t>24</w:t>
      </w:r>
      <w:r>
        <w:t>. Hernán MA, Wang W, Leaf DE: Target trial emulation: A framework for causal inference from observational data. Jama 328:2446–2447, 2022</w:t>
      </w:r>
    </w:p>
    <w:p w:rsidR="00B51624" w:rsidRDefault="00000000">
      <w:pPr>
        <w:pStyle w:val="Bibliography"/>
      </w:pPr>
      <w:bookmarkStart w:id="44" w:name="ref-hernan2016specifying"/>
      <w:bookmarkEnd w:id="43"/>
      <w:r>
        <w:rPr>
          <w:b/>
          <w:bCs/>
        </w:rPr>
        <w:t>25</w:t>
      </w:r>
      <w:r>
        <w:t xml:space="preserve">. Hernán MA, Sauer BC, Hernández-Dı́az S, et al: </w:t>
      </w:r>
      <w:hyperlink r:id="rId20">
        <w:r>
          <w:rPr>
            <w:rStyle w:val="Hyperlink"/>
          </w:rPr>
          <w:t>Specifying a target trial prevents immortal time bias and other self-inflicted injuries in observational analyses</w:t>
        </w:r>
      </w:hyperlink>
      <w:r>
        <w:t>. Journal of clinical epidemiology 79:70–75, 2016</w:t>
      </w:r>
    </w:p>
    <w:p w:rsidR="00B51624" w:rsidRDefault="00000000">
      <w:pPr>
        <w:pStyle w:val="Bibliography"/>
      </w:pPr>
      <w:bookmarkStart w:id="45" w:name="ref-rufibach2018"/>
      <w:bookmarkEnd w:id="44"/>
      <w:r>
        <w:rPr>
          <w:b/>
          <w:bCs/>
        </w:rPr>
        <w:t>26</w:t>
      </w:r>
      <w:r>
        <w:t xml:space="preserve">. Rufibach K: Treatment effect quantification for time-to-event endpointsEstimands, analysis strategies, and beyond [Internet]. Pharmaceutical Statistics 18:145–165, 2018Available from: </w:t>
      </w:r>
      <w:hyperlink r:id="rId21">
        <w:r>
          <w:rPr>
            <w:rStyle w:val="Hyperlink"/>
          </w:rPr>
          <w:t>http://dx.doi.org/10.1002/pst.1917</w:t>
        </w:r>
      </w:hyperlink>
    </w:p>
    <w:p w:rsidR="00B51624" w:rsidRDefault="00000000">
      <w:pPr>
        <w:pStyle w:val="Bibliography"/>
      </w:pPr>
      <w:bookmarkStart w:id="46" w:name="ref-manitz2022estimands"/>
      <w:bookmarkEnd w:id="45"/>
      <w:r>
        <w:rPr>
          <w:b/>
          <w:bCs/>
        </w:rPr>
        <w:t>27</w:t>
      </w:r>
      <w:r>
        <w:t>. Manitz J, Kan-Dobrosky N, Buchner H, et al: Estimands for overall survival in clinical trials with treatment switching in oncology. Pharmaceutical Statistics 21:150–162, 2022</w:t>
      </w:r>
    </w:p>
    <w:p w:rsidR="00B51624" w:rsidRDefault="00000000">
      <w:pPr>
        <w:pStyle w:val="Bibliography"/>
      </w:pPr>
      <w:bookmarkStart w:id="47" w:name="ref-meyer2020open"/>
      <w:bookmarkEnd w:id="46"/>
      <w:r>
        <w:rPr>
          <w:b/>
          <w:bCs/>
        </w:rPr>
        <w:t>28</w:t>
      </w:r>
      <w:r>
        <w:t>. Meyer A-M, Davies J, Taylor M, et al: Open cohorts and ghost-time bias in real world data, in PHARMACOEPIDEMIOLOGY AND DRUG SAFETY. WILEY 111 RIVER ST, HOBOKEN 07030-5774, NJ USA, 2020, pp 426–426</w:t>
      </w:r>
    </w:p>
    <w:p w:rsidR="00B51624" w:rsidRDefault="00000000">
      <w:pPr>
        <w:pStyle w:val="Bibliography"/>
      </w:pPr>
      <w:bookmarkStart w:id="48" w:name="ref-hernan2022causal"/>
      <w:bookmarkEnd w:id="47"/>
      <w:r>
        <w:rPr>
          <w:b/>
          <w:bCs/>
        </w:rPr>
        <w:t>29</w:t>
      </w:r>
      <w:r>
        <w:t>. Hernán MA: Causal analyses of existing databases: No power calculations required. Journal of clinical epidemiology 144:203–205, 2022</w:t>
      </w:r>
    </w:p>
    <w:p w:rsidR="00B51624" w:rsidRDefault="00000000">
      <w:pPr>
        <w:pStyle w:val="Bibliography"/>
      </w:pPr>
      <w:bookmarkStart w:id="49" w:name="ref-schoenfeld1981asymptotic"/>
      <w:bookmarkEnd w:id="48"/>
      <w:r>
        <w:rPr>
          <w:b/>
          <w:bCs/>
        </w:rPr>
        <w:t>30</w:t>
      </w:r>
      <w:r>
        <w:t>. Schoenfeld D: The asymptotic properties of nonparametric tests for comparing survival distributions. Biometrika 68:316–319, 1981</w:t>
      </w:r>
    </w:p>
    <w:p w:rsidR="00B51624" w:rsidRDefault="00000000">
      <w:pPr>
        <w:pStyle w:val="Bibliography"/>
      </w:pPr>
      <w:bookmarkStart w:id="50" w:name="ref-franklin2020nonrandomized"/>
      <w:bookmarkEnd w:id="49"/>
      <w:r>
        <w:rPr>
          <w:b/>
          <w:bCs/>
        </w:rPr>
        <w:t>31</w:t>
      </w:r>
      <w:r>
        <w:t>. Franklin JM, Pawar A, Martin D, et al: Nonrandomized real-world evidence to support regulatory decision making: Process for a randomized trial replication project. Clinical Pharmacology &amp; Therapeutics 107:817–826, 2020</w:t>
      </w:r>
    </w:p>
    <w:p w:rsidR="00B51624" w:rsidRDefault="00000000">
      <w:pPr>
        <w:pStyle w:val="Bibliography"/>
      </w:pPr>
      <w:bookmarkStart w:id="51" w:name="ref-schneeweiss2019graphical"/>
      <w:bookmarkEnd w:id="50"/>
      <w:r>
        <w:rPr>
          <w:b/>
          <w:bCs/>
        </w:rPr>
        <w:t>32</w:t>
      </w:r>
      <w:r>
        <w:t>. Schneeweiss S, Rassen JA, Brown JS, et al: Graphical depiction of longitudinal study designs in health care databases. Annals of internal medicine 170:398–406, 2019</w:t>
      </w:r>
    </w:p>
    <w:p w:rsidR="00B51624" w:rsidRDefault="00000000">
      <w:pPr>
        <w:pStyle w:val="Bibliography"/>
      </w:pPr>
      <w:bookmarkStart w:id="52" w:name="ref-rubin1976inference"/>
      <w:bookmarkEnd w:id="51"/>
      <w:r>
        <w:rPr>
          <w:b/>
          <w:bCs/>
        </w:rPr>
        <w:t>33</w:t>
      </w:r>
      <w:r>
        <w:t>. Rubin DB: Inference and missing data. Biometrika 63:581–592, 1976</w:t>
      </w:r>
    </w:p>
    <w:p w:rsidR="00B51624" w:rsidRDefault="00000000">
      <w:pPr>
        <w:pStyle w:val="Bibliography"/>
      </w:pPr>
      <w:bookmarkStart w:id="53" w:name="ref-weberpals2024smdi"/>
      <w:bookmarkEnd w:id="52"/>
      <w:r>
        <w:rPr>
          <w:b/>
          <w:bCs/>
        </w:rPr>
        <w:t>34</w:t>
      </w:r>
      <w:r>
        <w:t>. Weberpals J, Raman SR, Shaw PA, et al: Smdi: An r package to perform structural missing data investigations on partially observed confounders in real-world evidence studies. JAMIA open 7:ooae008, 2024</w:t>
      </w:r>
    </w:p>
    <w:p w:rsidR="00B51624" w:rsidRDefault="00000000">
      <w:pPr>
        <w:pStyle w:val="Bibliography"/>
      </w:pPr>
      <w:bookmarkStart w:id="54" w:name="ref-weberpals2024"/>
      <w:bookmarkEnd w:id="53"/>
      <w:r>
        <w:rPr>
          <w:b/>
          <w:bCs/>
        </w:rPr>
        <w:t>35</w:t>
      </w:r>
      <w:r>
        <w:t>. Weberpals J, Raman SR, Shaw PA, et al: A principled approach to characterize and analyze partially observed confounder data from electronic health records [Internet]. Clinical Epidemiology 16:329–343, 2024Available from:</w:t>
      </w:r>
      <w:hyperlink r:id="rId22">
        <w:r>
          <w:rPr>
            <w:rStyle w:val="Hyperlink"/>
          </w:rPr>
          <w:t xml:space="preserve"> https://www.tandfonline.com/doi/abs/10.2147/CLEP.S436131 </w:t>
        </w:r>
      </w:hyperlink>
    </w:p>
    <w:p w:rsidR="00B51624" w:rsidRDefault="00000000">
      <w:pPr>
        <w:pStyle w:val="Bibliography"/>
      </w:pPr>
      <w:bookmarkStart w:id="55" w:name="ref-moreno2018canonical"/>
      <w:bookmarkEnd w:id="54"/>
      <w:r>
        <w:rPr>
          <w:b/>
          <w:bCs/>
        </w:rPr>
        <w:t>36</w:t>
      </w:r>
      <w:r>
        <w:t>. Moreno-Betancur M, Lee KJ, Leacy FP, et al: Canonical causal diagrams to guide the treatment of missing data in epidemiologic studies. American journal of epidemiology 187:2705–2715, 2018</w:t>
      </w:r>
    </w:p>
    <w:p w:rsidR="00B51624" w:rsidRDefault="00000000">
      <w:pPr>
        <w:pStyle w:val="Bibliography"/>
      </w:pPr>
      <w:bookmarkStart w:id="56" w:name="ref-tompsett2018use"/>
      <w:bookmarkEnd w:id="55"/>
      <w:r>
        <w:rPr>
          <w:b/>
          <w:bCs/>
        </w:rPr>
        <w:lastRenderedPageBreak/>
        <w:t>37</w:t>
      </w:r>
      <w:r>
        <w:t>. Tompsett DM, Leacy F, Moreno-Betancur M, et al: On the use of the not-at-random fully conditional specification (NARFCS) procedure in practice. Statistics in medicine 37:2338–2353, 2018</w:t>
      </w:r>
    </w:p>
    <w:p w:rsidR="00B51624" w:rsidRDefault="00000000">
      <w:pPr>
        <w:pStyle w:val="Bibliography"/>
      </w:pPr>
      <w:bookmarkStart w:id="57" w:name="ref-weberpals2024hdmi"/>
      <w:bookmarkEnd w:id="56"/>
      <w:r>
        <w:rPr>
          <w:b/>
          <w:bCs/>
        </w:rPr>
        <w:t>38</w:t>
      </w:r>
      <w:r>
        <w:t xml:space="preserve">. Weberpals J, Shaw PA, Lin KJ, et al: High-dimensional multiple imputation (HDMI) for partially observed confounders including natural language processing-derived auxiliary covariates [Internet]. American Journal of Epidemiology, 2025Available from: </w:t>
      </w:r>
      <w:hyperlink r:id="rId23">
        <w:r>
          <w:rPr>
            <w:rStyle w:val="Hyperlink"/>
          </w:rPr>
          <w:t>https://arxiv.org/abs/2405.10925</w:t>
        </w:r>
      </w:hyperlink>
    </w:p>
    <w:p w:rsidR="00B51624" w:rsidRDefault="00000000">
      <w:pPr>
        <w:pStyle w:val="Bibliography"/>
      </w:pPr>
      <w:bookmarkStart w:id="58" w:name="ref-Shaw2024"/>
      <w:bookmarkEnd w:id="57"/>
      <w:r>
        <w:rPr>
          <w:b/>
          <w:bCs/>
        </w:rPr>
        <w:t>39</w:t>
      </w:r>
      <w:r>
        <w:t xml:space="preserve">. Shaw CK P., Williamson BD: Assessing treatment effects in observational data with missing confounders: A comparative study of practical doubly-robust and traditional missing data methods [Internet]. GitHub repository, 2024Available from: </w:t>
      </w:r>
      <w:hyperlink r:id="rId24">
        <w:r>
          <w:rPr>
            <w:rStyle w:val="Hyperlink"/>
          </w:rPr>
          <w:t>https://github.com/PamelaShaw/Missing-Confounders-Methods</w:t>
        </w:r>
      </w:hyperlink>
    </w:p>
    <w:p w:rsidR="00B51624" w:rsidRDefault="00000000">
      <w:pPr>
        <w:pStyle w:val="Bibliography"/>
      </w:pPr>
      <w:bookmarkStart w:id="59" w:name="ref-cox1972regression"/>
      <w:bookmarkEnd w:id="58"/>
      <w:r>
        <w:rPr>
          <w:b/>
          <w:bCs/>
        </w:rPr>
        <w:t>40</w:t>
      </w:r>
      <w:r>
        <w:t>. Cox DR: Regression models and life-tables. Journal of the royal statistical society. Series B (Methodological) 34:187–220, 1972</w:t>
      </w:r>
    </w:p>
    <w:p w:rsidR="00B51624" w:rsidRDefault="00000000">
      <w:pPr>
        <w:pStyle w:val="Bibliography"/>
      </w:pPr>
      <w:bookmarkStart w:id="60" w:name="ref-kaplan1958nonparametric"/>
      <w:bookmarkEnd w:id="59"/>
      <w:r>
        <w:rPr>
          <w:b/>
          <w:bCs/>
        </w:rPr>
        <w:t>41</w:t>
      </w:r>
      <w:r>
        <w:t>. Kaplan EL, Meier P: Nonparametric estimation from incomplete observations. Journal of the American statistical association 53:457–481, 1958</w:t>
      </w:r>
    </w:p>
    <w:p w:rsidR="00B51624" w:rsidRDefault="00000000">
      <w:pPr>
        <w:pStyle w:val="Bibliography"/>
      </w:pPr>
      <w:bookmarkStart w:id="61" w:name="ref-becker2020enhanced"/>
      <w:bookmarkEnd w:id="60"/>
      <w:r>
        <w:rPr>
          <w:b/>
          <w:bCs/>
        </w:rPr>
        <w:t>42</w:t>
      </w:r>
      <w:r>
        <w:t>. Becker T, Weberpals J, Jegg A, et al: An enhanced prognostic score for overall survival of patients with cancer derived from a large real-world cohort. Annals of Oncology 31:1561–1568, 2020</w:t>
      </w:r>
    </w:p>
    <w:p w:rsidR="00B51624" w:rsidRDefault="00000000">
      <w:pPr>
        <w:pStyle w:val="Bibliography"/>
      </w:pPr>
      <w:bookmarkStart w:id="62" w:name="ref-leyrat2019propensity"/>
      <w:bookmarkEnd w:id="61"/>
      <w:r>
        <w:rPr>
          <w:b/>
          <w:bCs/>
        </w:rPr>
        <w:t>43</w:t>
      </w:r>
      <w:r>
        <w:t>. Leyrat C, Seaman SR, White IR, et al: Propensity score analysis with partially observed covariates: How should multiple imputation be used? Statistical methods in medical research 28:3–19, 2019</w:t>
      </w:r>
    </w:p>
    <w:p w:rsidR="00B51624" w:rsidRDefault="00000000">
      <w:pPr>
        <w:pStyle w:val="Bibliography"/>
      </w:pPr>
      <w:bookmarkStart w:id="63" w:name="ref-pishgar2020matchthem"/>
      <w:bookmarkEnd w:id="62"/>
      <w:r>
        <w:rPr>
          <w:b/>
          <w:bCs/>
        </w:rPr>
        <w:t>44</w:t>
      </w:r>
      <w:r>
        <w:t>. Pishgar F, Greifer N, Leyrat C, et al: MatchThem:: Matching and weighting after multiple imputation. arXiv preprint arXiv:200911772, 2020</w:t>
      </w:r>
    </w:p>
    <w:p w:rsidR="00B51624" w:rsidRDefault="00000000">
      <w:pPr>
        <w:pStyle w:val="Bibliography"/>
      </w:pPr>
      <w:bookmarkStart w:id="64" w:name="ref-rubin2018multiple"/>
      <w:bookmarkEnd w:id="63"/>
      <w:r>
        <w:rPr>
          <w:b/>
          <w:bCs/>
        </w:rPr>
        <w:t>45</w:t>
      </w:r>
      <w:r>
        <w:t>. Rubin DB: Multiple imputation, in Flexible imputation of missing data, second edition. Chapman; Hall/CRC, 2018, pp 29–62</w:t>
      </w:r>
    </w:p>
    <w:p w:rsidR="00B51624" w:rsidRDefault="00000000">
      <w:pPr>
        <w:pStyle w:val="Bibliography"/>
      </w:pPr>
      <w:bookmarkStart w:id="65" w:name="ref-van2011mice"/>
      <w:bookmarkEnd w:id="64"/>
      <w:r>
        <w:rPr>
          <w:b/>
          <w:bCs/>
        </w:rPr>
        <w:t>46</w:t>
      </w:r>
      <w:r>
        <w:t>. Van Buuren S, Groothuis-Oudshoorn K: Mice: Multivariate imputation by chained equations in r. Journal of statistical software 45:1–67, 2011</w:t>
      </w:r>
    </w:p>
    <w:p w:rsidR="00B51624" w:rsidRDefault="00000000">
      <w:pPr>
        <w:pStyle w:val="Bibliography"/>
      </w:pPr>
      <w:bookmarkStart w:id="66" w:name="ref-austin2009balance"/>
      <w:bookmarkEnd w:id="65"/>
      <w:r>
        <w:rPr>
          <w:b/>
          <w:bCs/>
        </w:rPr>
        <w:t>47</w:t>
      </w:r>
      <w:r>
        <w:t>. Austin PC: Balance diagnostics for comparing the distribution of baseline covariates between treatment groups in propensity-score matched samples. Statistics in medicine 28:3083–3107, 2009</w:t>
      </w:r>
    </w:p>
    <w:p w:rsidR="00B51624" w:rsidRDefault="00000000">
      <w:pPr>
        <w:pStyle w:val="Bibliography"/>
      </w:pPr>
      <w:bookmarkStart w:id="67" w:name="ref-franklin2014metrics"/>
      <w:bookmarkEnd w:id="66"/>
      <w:r>
        <w:rPr>
          <w:b/>
          <w:bCs/>
        </w:rPr>
        <w:t>48</w:t>
      </w:r>
      <w:r>
        <w:t>. Franklin JM, Rassen JA, Ackermann D, et al: Metrics for covariate balance in cohort studies of causal effects. Statistics in medicine 33:1685–1699, 2014</w:t>
      </w:r>
    </w:p>
    <w:p w:rsidR="00B51624" w:rsidRDefault="00000000">
      <w:pPr>
        <w:pStyle w:val="Bibliography"/>
      </w:pPr>
      <w:bookmarkStart w:id="68" w:name="ref-stuart2013prognostic"/>
      <w:bookmarkEnd w:id="67"/>
      <w:r>
        <w:rPr>
          <w:b/>
          <w:bCs/>
        </w:rPr>
        <w:t>49</w:t>
      </w:r>
      <w:r>
        <w:t>. Stuart EA, Lee BK, Leacy FP: Prognostic score–based balance measures can be a useful diagnostic for propensity score methods in comparative effectiveness research. Journal of clinical epidemiology 66:S84–S90, 2013</w:t>
      </w:r>
    </w:p>
    <w:p w:rsidR="00B51624" w:rsidRDefault="00000000">
      <w:pPr>
        <w:pStyle w:val="Bibliography"/>
      </w:pPr>
      <w:bookmarkStart w:id="69" w:name="ref-warwick28685"/>
      <w:bookmarkEnd w:id="68"/>
      <w:r>
        <w:rPr>
          <w:b/>
          <w:bCs/>
        </w:rPr>
        <w:lastRenderedPageBreak/>
        <w:t>50</w:t>
      </w:r>
      <w:r>
        <w:t xml:space="preserve">. Marshall A(Andrea), Billingham LJ, Bryan S: Can we afford to ignore missing data in cost-effectiveness analyses? [Internet]. European Journal of Health Economics Vol.10:1–3, 2009Available from: </w:t>
      </w:r>
      <w:hyperlink r:id="rId25">
        <w:r>
          <w:rPr>
            <w:rStyle w:val="Hyperlink"/>
          </w:rPr>
          <w:t>http://dx.doi.org/10.1007/s10198-008-0129-y</w:t>
        </w:r>
      </w:hyperlink>
    </w:p>
    <w:p w:rsidR="00B51624" w:rsidRDefault="00000000">
      <w:pPr>
        <w:pStyle w:val="Bibliography"/>
      </w:pPr>
      <w:bookmarkStart w:id="70" w:name="ref-morisot2015prostate"/>
      <w:bookmarkEnd w:id="69"/>
      <w:r>
        <w:rPr>
          <w:b/>
          <w:bCs/>
        </w:rPr>
        <w:t>51</w:t>
      </w:r>
      <w:r>
        <w:t>. Morisot A, Bessaoud F, Landais P, et al: Prostate cancer: Net survival and cause-specific survival rates after multiple imputation. BMC medical research methodology 15:1–14, 2015</w:t>
      </w:r>
    </w:p>
    <w:p w:rsidR="00B51624" w:rsidRDefault="00000000">
      <w:pPr>
        <w:pStyle w:val="Bibliography"/>
      </w:pPr>
      <w:bookmarkStart w:id="71" w:name="ref-anesrake"/>
      <w:bookmarkEnd w:id="70"/>
      <w:r>
        <w:rPr>
          <w:b/>
          <w:bCs/>
        </w:rPr>
        <w:t>52</w:t>
      </w:r>
      <w:r>
        <w:t>. Pasek J: Anesrake: ANES raking implementation, 2018</w:t>
      </w:r>
    </w:p>
    <w:p w:rsidR="00B51624" w:rsidRDefault="00000000">
      <w:pPr>
        <w:pStyle w:val="Bibliography"/>
      </w:pPr>
      <w:bookmarkStart w:id="72" w:name="ref-MatchThem"/>
      <w:bookmarkEnd w:id="71"/>
      <w:r>
        <w:rPr>
          <w:b/>
          <w:bCs/>
        </w:rPr>
        <w:t>53</w:t>
      </w:r>
      <w:r>
        <w:t xml:space="preserve">. Pishgar F, Greifer N, Leyrat C, et al: MatchThem:: Matching and weighting after multiple imputation [Internet], 2021Available from: </w:t>
      </w:r>
      <w:hyperlink r:id="rId26">
        <w:r>
          <w:rPr>
            <w:rStyle w:val="Hyperlink"/>
          </w:rPr>
          <w:t>https://journal.r-project.org/archive/2021/RJ-2021-073/</w:t>
        </w:r>
      </w:hyperlink>
    </w:p>
    <w:p w:rsidR="00B51624" w:rsidRDefault="00000000">
      <w:pPr>
        <w:pStyle w:val="Bibliography"/>
      </w:pPr>
      <w:bookmarkStart w:id="73" w:name="ref-survival"/>
      <w:bookmarkEnd w:id="72"/>
      <w:r>
        <w:rPr>
          <w:b/>
          <w:bCs/>
        </w:rPr>
        <w:t>54</w:t>
      </w:r>
      <w:r>
        <w:t xml:space="preserve">. Therneau TM: A package for survival analysis in r [Internet], 2024Available from: </w:t>
      </w:r>
      <w:hyperlink r:id="rId27">
        <w:r>
          <w:rPr>
            <w:rStyle w:val="Hyperlink"/>
          </w:rPr>
          <w:t>https://CRAN.R-project.org/package=survival</w:t>
        </w:r>
      </w:hyperlink>
    </w:p>
    <w:p w:rsidR="00B51624" w:rsidRDefault="00000000">
      <w:pPr>
        <w:pStyle w:val="Bibliography"/>
      </w:pPr>
      <w:bookmarkStart w:id="74" w:name="ref-encore.analytics"/>
      <w:bookmarkEnd w:id="73"/>
      <w:r>
        <w:rPr>
          <w:b/>
          <w:bCs/>
        </w:rPr>
        <w:t>55</w:t>
      </w:r>
      <w:r>
        <w:t xml:space="preserve">. Weberpals J: Encore.analytics: Functions and wrappers to streamline complex analytic workflows in real-world data studies based on the ENCORE trial emulation project [Internet], 2025Available from: </w:t>
      </w:r>
      <w:hyperlink r:id="rId28">
        <w:r>
          <w:rPr>
            <w:rStyle w:val="Hyperlink"/>
          </w:rPr>
          <w:t>https://github.com/janickweberpals/encore.analytics</w:t>
        </w:r>
      </w:hyperlink>
    </w:p>
    <w:p w:rsidR="00B51624" w:rsidRDefault="00000000">
      <w:pPr>
        <w:pStyle w:val="Bibliography"/>
      </w:pPr>
      <w:bookmarkStart w:id="75" w:name="ref-gtsummary"/>
      <w:bookmarkEnd w:id="74"/>
      <w:r>
        <w:rPr>
          <w:b/>
          <w:bCs/>
        </w:rPr>
        <w:t>56</w:t>
      </w:r>
      <w:r>
        <w:t xml:space="preserve">. Sjoberg DD, Whiting K, Curry M, et al: Reproducible summary tables with the gtsummary package [Internet]13:570–580, 2021Available from: </w:t>
      </w:r>
      <w:hyperlink r:id="rId29">
        <w:r>
          <w:rPr>
            <w:rStyle w:val="Hyperlink"/>
          </w:rPr>
          <w:t>https://doi.org/10.32614/RJ-2021-053</w:t>
        </w:r>
      </w:hyperlink>
    </w:p>
    <w:p w:rsidR="00B51624" w:rsidRDefault="00000000">
      <w:pPr>
        <w:pStyle w:val="Bibliography"/>
      </w:pPr>
      <w:bookmarkStart w:id="76" w:name="ref-ggsurvfit"/>
      <w:bookmarkEnd w:id="75"/>
      <w:r>
        <w:rPr>
          <w:b/>
          <w:bCs/>
        </w:rPr>
        <w:t>57</w:t>
      </w:r>
      <w:r>
        <w:t xml:space="preserve">. Sjoberg DD, Baillie M, Fruechtenicht C, et al: Ggsurvfit: Flexible time-to-event figures [Internet], 2024Available from: </w:t>
      </w:r>
      <w:hyperlink r:id="rId30">
        <w:r>
          <w:rPr>
            <w:rStyle w:val="Hyperlink"/>
          </w:rPr>
          <w:t>https://github.com/pharmaverse/ggsurvfit</w:t>
        </w:r>
      </w:hyperlink>
    </w:p>
    <w:p w:rsidR="00B51624" w:rsidRDefault="00000000">
      <w:pPr>
        <w:pStyle w:val="Bibliography"/>
      </w:pPr>
      <w:bookmarkStart w:id="77" w:name="ref-gaber2024mystifying"/>
      <w:bookmarkEnd w:id="76"/>
      <w:r>
        <w:rPr>
          <w:b/>
          <w:bCs/>
        </w:rPr>
        <w:t>58</w:t>
      </w:r>
      <w:r>
        <w:t>. Gaber CE, Ghazarian AA, Strassle PD, et al: De-mystifying the clone-censor-weight method for causal research using observational data: A primer for cancer researchers. Cancer Medicine 13:e70461, 2024</w:t>
      </w:r>
    </w:p>
    <w:bookmarkEnd w:id="20"/>
    <w:bookmarkEnd w:id="77"/>
    <w:p w:rsidR="00B51624" w:rsidRDefault="00000000">
      <w:r>
        <w:br w:type="page"/>
      </w:r>
    </w:p>
    <w:p w:rsidR="00B51624" w:rsidRDefault="00000000">
      <w:pPr>
        <w:pStyle w:val="Heading1"/>
      </w:pPr>
      <w:bookmarkStart w:id="78" w:name="tables"/>
      <w:bookmarkEnd w:id="18"/>
      <w:r>
        <w:lastRenderedPageBreak/>
        <w:t>Tables</w:t>
      </w:r>
    </w:p>
    <w:tbl>
      <w:tblPr>
        <w:tblStyle w:val="Table"/>
        <w:tblW w:w="5000" w:type="pct"/>
        <w:tblLayout w:type="fixed"/>
        <w:tblLook w:val="0000" w:firstRow="0" w:lastRow="0" w:firstColumn="0" w:lastColumn="0" w:noHBand="0" w:noVBand="0"/>
      </w:tblPr>
      <w:tblGrid>
        <w:gridCol w:w="9576"/>
      </w:tblGrid>
      <w:tr w:rsidR="00B51624">
        <w:tc>
          <w:tcPr>
            <w:tcW w:w="7920" w:type="dxa"/>
          </w:tcPr>
          <w:p w:rsidR="00B51624" w:rsidRDefault="00000000">
            <w:pPr>
              <w:pStyle w:val="ImageCaption"/>
              <w:spacing w:before="200"/>
            </w:pPr>
            <w:bookmarkStart w:id="79" w:name="tbl-criteria"/>
            <w:r>
              <w:t>Table 1: Criteria to select eligible trials for emulation in ENCORE.</w:t>
            </w:r>
          </w:p>
          <w:p w:rsidR="00B51624" w:rsidRDefault="00000000">
            <w:pPr>
              <w:jc w:val="center"/>
            </w:pPr>
            <w:r>
              <w:rPr>
                <w:noProof/>
              </w:rPr>
              <w:drawing>
                <wp:inline distT="0" distB="0" distL="0" distR="0">
                  <wp:extent cx="5943600" cy="476326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tables/Table_1_trial_eligibility.png"/>
                          <pic:cNvPicPr>
                            <a:picLocks noChangeAspect="1" noChangeArrowheads="1"/>
                          </pic:cNvPicPr>
                        </pic:nvPicPr>
                        <pic:blipFill>
                          <a:blip r:embed="rId31"/>
                          <a:stretch>
                            <a:fillRect/>
                          </a:stretch>
                        </pic:blipFill>
                        <pic:spPr bwMode="auto">
                          <a:xfrm>
                            <a:off x="0" y="0"/>
                            <a:ext cx="5943600" cy="4763268"/>
                          </a:xfrm>
                          <a:prstGeom prst="rect">
                            <a:avLst/>
                          </a:prstGeom>
                          <a:noFill/>
                          <a:ln w="9525">
                            <a:noFill/>
                            <a:headEnd/>
                            <a:tailEnd/>
                          </a:ln>
                        </pic:spPr>
                      </pic:pic>
                    </a:graphicData>
                  </a:graphic>
                </wp:inline>
              </w:drawing>
            </w:r>
          </w:p>
        </w:tc>
        <w:bookmarkEnd w:id="79"/>
      </w:tr>
    </w:tbl>
    <w:p w:rsidR="00B51624" w:rsidRDefault="00000000">
      <w:r>
        <w:br w:type="page"/>
      </w:r>
    </w:p>
    <w:tbl>
      <w:tblPr>
        <w:tblStyle w:val="Table"/>
        <w:tblW w:w="5000" w:type="pct"/>
        <w:tblLayout w:type="fixed"/>
        <w:tblLook w:val="0000" w:firstRow="0" w:lastRow="0" w:firstColumn="0" w:lastColumn="0" w:noHBand="0" w:noVBand="0"/>
      </w:tblPr>
      <w:tblGrid>
        <w:gridCol w:w="9576"/>
      </w:tblGrid>
      <w:tr w:rsidR="00B51624">
        <w:tc>
          <w:tcPr>
            <w:tcW w:w="7920" w:type="dxa"/>
          </w:tcPr>
          <w:p w:rsidR="00B51624" w:rsidRDefault="00000000">
            <w:pPr>
              <w:pStyle w:val="ImageCaption"/>
              <w:spacing w:before="200"/>
            </w:pPr>
            <w:bookmarkStart w:id="80" w:name="tbl-rcts"/>
            <w:r>
              <w:lastRenderedPageBreak/>
              <w:t>Table 2: Tentative list of randomized controlled trials (RCTs) considered for emulation.</w:t>
            </w:r>
          </w:p>
          <w:p w:rsidR="00B51624" w:rsidRDefault="00000000">
            <w:pPr>
              <w:jc w:val="center"/>
            </w:pPr>
            <w:r>
              <w:rPr>
                <w:noProof/>
              </w:rPr>
              <w:drawing>
                <wp:inline distT="0" distB="0" distL="0" distR="0">
                  <wp:extent cx="5943600" cy="5404362"/>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tables/Table_2_trial_selection.png"/>
                          <pic:cNvPicPr>
                            <a:picLocks noChangeAspect="1" noChangeArrowheads="1"/>
                          </pic:cNvPicPr>
                        </pic:nvPicPr>
                        <pic:blipFill>
                          <a:blip r:embed="rId32"/>
                          <a:stretch>
                            <a:fillRect/>
                          </a:stretch>
                        </pic:blipFill>
                        <pic:spPr bwMode="auto">
                          <a:xfrm>
                            <a:off x="0" y="0"/>
                            <a:ext cx="5943600" cy="5404362"/>
                          </a:xfrm>
                          <a:prstGeom prst="rect">
                            <a:avLst/>
                          </a:prstGeom>
                          <a:noFill/>
                          <a:ln w="9525">
                            <a:noFill/>
                            <a:headEnd/>
                            <a:tailEnd/>
                          </a:ln>
                        </pic:spPr>
                      </pic:pic>
                    </a:graphicData>
                  </a:graphic>
                </wp:inline>
              </w:drawing>
            </w:r>
          </w:p>
        </w:tc>
        <w:bookmarkEnd w:id="80"/>
      </w:tr>
    </w:tbl>
    <w:p w:rsidR="00B51624" w:rsidRDefault="00000000">
      <w:r>
        <w:br w:type="page"/>
      </w:r>
    </w:p>
    <w:tbl>
      <w:tblPr>
        <w:tblStyle w:val="Table"/>
        <w:tblW w:w="5000" w:type="pct"/>
        <w:tblLayout w:type="fixed"/>
        <w:tblLook w:val="0000" w:firstRow="0" w:lastRow="0" w:firstColumn="0" w:lastColumn="0" w:noHBand="0" w:noVBand="0"/>
      </w:tblPr>
      <w:tblGrid>
        <w:gridCol w:w="9576"/>
      </w:tblGrid>
      <w:tr w:rsidR="00B51624">
        <w:tc>
          <w:tcPr>
            <w:tcW w:w="7920" w:type="dxa"/>
          </w:tcPr>
          <w:p w:rsidR="00B51624" w:rsidRDefault="00000000">
            <w:pPr>
              <w:pStyle w:val="ImageCaption"/>
              <w:spacing w:before="200"/>
            </w:pPr>
            <w:bookmarkStart w:id="81" w:name="tbl-metrics"/>
            <w:r>
              <w:lastRenderedPageBreak/>
              <w:t>Table 3: Example visualization of agreement metrics.</w:t>
            </w:r>
          </w:p>
          <w:p w:rsidR="00B51624" w:rsidRDefault="00000000">
            <w:pPr>
              <w:jc w:val="center"/>
            </w:pPr>
            <w:r>
              <w:rPr>
                <w:noProof/>
              </w:rPr>
              <w:drawing>
                <wp:inline distT="0" distB="0" distL="0" distR="0">
                  <wp:extent cx="5943600" cy="1671637"/>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tables/Table_3_agreement_metrics.png"/>
                          <pic:cNvPicPr>
                            <a:picLocks noChangeAspect="1" noChangeArrowheads="1"/>
                          </pic:cNvPicPr>
                        </pic:nvPicPr>
                        <pic:blipFill>
                          <a:blip r:embed="rId33"/>
                          <a:stretch>
                            <a:fillRect/>
                          </a:stretch>
                        </pic:blipFill>
                        <pic:spPr bwMode="auto">
                          <a:xfrm>
                            <a:off x="0" y="0"/>
                            <a:ext cx="5943600" cy="1671637"/>
                          </a:xfrm>
                          <a:prstGeom prst="rect">
                            <a:avLst/>
                          </a:prstGeom>
                          <a:noFill/>
                          <a:ln w="9525">
                            <a:noFill/>
                            <a:headEnd/>
                            <a:tailEnd/>
                          </a:ln>
                        </pic:spPr>
                      </pic:pic>
                    </a:graphicData>
                  </a:graphic>
                </wp:inline>
              </w:drawing>
            </w:r>
          </w:p>
        </w:tc>
        <w:bookmarkEnd w:id="81"/>
      </w:tr>
    </w:tbl>
    <w:p w:rsidR="00B51624" w:rsidRDefault="00000000">
      <w:r>
        <w:br w:type="page"/>
      </w:r>
    </w:p>
    <w:p w:rsidR="00B51624" w:rsidRDefault="00000000">
      <w:pPr>
        <w:pStyle w:val="Heading1"/>
      </w:pPr>
      <w:bookmarkStart w:id="82" w:name="figures"/>
      <w:bookmarkEnd w:id="78"/>
      <w:r>
        <w:lastRenderedPageBreak/>
        <w:t>Figures</w:t>
      </w:r>
    </w:p>
    <w:tbl>
      <w:tblPr>
        <w:tblStyle w:val="Table"/>
        <w:tblW w:w="5000" w:type="pct"/>
        <w:tblLayout w:type="fixed"/>
        <w:tblLook w:val="0000" w:firstRow="0" w:lastRow="0" w:firstColumn="0" w:lastColumn="0" w:noHBand="0" w:noVBand="0"/>
      </w:tblPr>
      <w:tblGrid>
        <w:gridCol w:w="9576"/>
      </w:tblGrid>
      <w:tr w:rsidR="00B51624">
        <w:tc>
          <w:tcPr>
            <w:tcW w:w="7920" w:type="dxa"/>
          </w:tcPr>
          <w:p w:rsidR="00B51624" w:rsidRDefault="00000000">
            <w:pPr>
              <w:pStyle w:val="ImageCaption"/>
              <w:spacing w:before="200"/>
            </w:pPr>
            <w:bookmarkStart w:id="83" w:name="fig-process"/>
            <w:r>
              <w:t>Figure 1: Systematic process to understand effectiveness claims of oncology trials using real-world evidence.</w:t>
            </w:r>
          </w:p>
          <w:p w:rsidR="00B51624" w:rsidRDefault="00000000">
            <w:pPr>
              <w:pStyle w:val="Compact"/>
              <w:jc w:val="center"/>
            </w:pPr>
            <w:r>
              <w:rPr>
                <w:noProof/>
              </w:rPr>
              <w:drawing>
                <wp:inline distT="0" distB="0" distL="0" distR="0">
                  <wp:extent cx="5943600" cy="3343275"/>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figures/process.png"/>
                          <pic:cNvPicPr>
                            <a:picLocks noChangeAspect="1" noChangeArrowheads="1"/>
                          </pic:cNvPicPr>
                        </pic:nvPicPr>
                        <pic:blipFill>
                          <a:blip r:embed="rId34"/>
                          <a:stretch>
                            <a:fillRect/>
                          </a:stretch>
                        </pic:blipFill>
                        <pic:spPr bwMode="auto">
                          <a:xfrm>
                            <a:off x="0" y="0"/>
                            <a:ext cx="5943600" cy="3343275"/>
                          </a:xfrm>
                          <a:prstGeom prst="rect">
                            <a:avLst/>
                          </a:prstGeom>
                          <a:noFill/>
                          <a:ln w="9525">
                            <a:noFill/>
                            <a:headEnd/>
                            <a:tailEnd/>
                          </a:ln>
                        </pic:spPr>
                      </pic:pic>
                    </a:graphicData>
                  </a:graphic>
                </wp:inline>
              </w:drawing>
            </w:r>
          </w:p>
        </w:tc>
        <w:bookmarkEnd w:id="83"/>
      </w:tr>
    </w:tbl>
    <w:p w:rsidR="00B51624" w:rsidRDefault="00000000">
      <w:pPr>
        <w:pStyle w:val="BodyText"/>
      </w:pPr>
      <w:hyperlink r:id="rId35">
        <w:r>
          <w:rPr>
            <w:rStyle w:val="Hyperlink"/>
          </w:rPr>
          <w:t>View figure in higher resolution here</w:t>
        </w:r>
      </w:hyperlink>
    </w:p>
    <w:p w:rsidR="00B51624" w:rsidRDefault="00000000">
      <w:r>
        <w:br w:type="page"/>
      </w:r>
    </w:p>
    <w:tbl>
      <w:tblPr>
        <w:tblStyle w:val="Table"/>
        <w:tblW w:w="5000" w:type="pct"/>
        <w:tblLayout w:type="fixed"/>
        <w:tblLook w:val="0000" w:firstRow="0" w:lastRow="0" w:firstColumn="0" w:lastColumn="0" w:noHBand="0" w:noVBand="0"/>
      </w:tblPr>
      <w:tblGrid>
        <w:gridCol w:w="9576"/>
      </w:tblGrid>
      <w:tr w:rsidR="00B51624">
        <w:tc>
          <w:tcPr>
            <w:tcW w:w="7920" w:type="dxa"/>
          </w:tcPr>
          <w:p w:rsidR="00B51624" w:rsidRDefault="00000000">
            <w:pPr>
              <w:pStyle w:val="ImageCaption"/>
              <w:spacing w:before="200"/>
            </w:pPr>
            <w:bookmarkStart w:id="84" w:name="fig-initiators"/>
            <w:r>
              <w:lastRenderedPageBreak/>
              <w:t>Figure 2: Example visualization of descriptive drug utilization analyses displaying a) initiation trends between compared regimens based on calendar time, b) cumulative rate of patients switching to another line of treatment.</w:t>
            </w:r>
          </w:p>
          <w:p w:rsidR="00B51624" w:rsidRDefault="00000000">
            <w:pPr>
              <w:pStyle w:val="Compact"/>
              <w:jc w:val="center"/>
            </w:pPr>
            <w:r>
              <w:rPr>
                <w:noProof/>
              </w:rPr>
              <w:drawing>
                <wp:inline distT="0" distB="0" distL="0" distR="0">
                  <wp:extent cx="5943600" cy="5942114"/>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Figure_2_utlization.png"/>
                          <pic:cNvPicPr>
                            <a:picLocks noChangeAspect="1" noChangeArrowheads="1"/>
                          </pic:cNvPicPr>
                        </pic:nvPicPr>
                        <pic:blipFill>
                          <a:blip r:embed="rId36"/>
                          <a:stretch>
                            <a:fillRect/>
                          </a:stretch>
                        </pic:blipFill>
                        <pic:spPr bwMode="auto">
                          <a:xfrm>
                            <a:off x="0" y="0"/>
                            <a:ext cx="5943600" cy="5942114"/>
                          </a:xfrm>
                          <a:prstGeom prst="rect">
                            <a:avLst/>
                          </a:prstGeom>
                          <a:noFill/>
                          <a:ln w="9525">
                            <a:noFill/>
                            <a:headEnd/>
                            <a:tailEnd/>
                          </a:ln>
                        </pic:spPr>
                      </pic:pic>
                    </a:graphicData>
                  </a:graphic>
                </wp:inline>
              </w:drawing>
            </w:r>
          </w:p>
        </w:tc>
        <w:bookmarkEnd w:id="84"/>
      </w:tr>
    </w:tbl>
    <w:p w:rsidR="00B51624" w:rsidRDefault="00000000">
      <w:pPr>
        <w:pStyle w:val="BodyText"/>
      </w:pPr>
      <w:hyperlink r:id="rId37">
        <w:r>
          <w:rPr>
            <w:rStyle w:val="Hyperlink"/>
          </w:rPr>
          <w:t>View figure in higher resolution here</w:t>
        </w:r>
      </w:hyperlink>
    </w:p>
    <w:p w:rsidR="00B51624" w:rsidRDefault="00000000">
      <w:r>
        <w:br w:type="page"/>
      </w:r>
    </w:p>
    <w:tbl>
      <w:tblPr>
        <w:tblStyle w:val="Table"/>
        <w:tblW w:w="5000" w:type="pct"/>
        <w:tblLayout w:type="fixed"/>
        <w:tblLook w:val="0000" w:firstRow="0" w:lastRow="0" w:firstColumn="0" w:lastColumn="0" w:noHBand="0" w:noVBand="0"/>
      </w:tblPr>
      <w:tblGrid>
        <w:gridCol w:w="9576"/>
      </w:tblGrid>
      <w:tr w:rsidR="00B51624">
        <w:tc>
          <w:tcPr>
            <w:tcW w:w="7920" w:type="dxa"/>
          </w:tcPr>
          <w:p w:rsidR="00B51624" w:rsidRDefault="00000000">
            <w:pPr>
              <w:pStyle w:val="ImageCaption"/>
              <w:spacing w:before="200"/>
            </w:pPr>
            <w:bookmarkStart w:id="85" w:name="fig-balance"/>
            <w:r>
              <w:lastRenderedPageBreak/>
              <w:t>Figure 3: Assessment of a) covariate balance and b) distributional balance of a prognostic score for overall survival before and after propensity score matching or weighting across multiple imputed datasets.</w:t>
            </w:r>
          </w:p>
          <w:p w:rsidR="00B51624" w:rsidRDefault="00000000">
            <w:pPr>
              <w:pStyle w:val="Compact"/>
              <w:jc w:val="center"/>
            </w:pPr>
            <w:r>
              <w:rPr>
                <w:noProof/>
              </w:rPr>
              <w:drawing>
                <wp:inline distT="0" distB="0" distL="0" distR="0">
                  <wp:extent cx="5943600" cy="316992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Figure_3_balance.png"/>
                          <pic:cNvPicPr>
                            <a:picLocks noChangeAspect="1" noChangeArrowheads="1"/>
                          </pic:cNvPicPr>
                        </pic:nvPicPr>
                        <pic:blipFill>
                          <a:blip r:embed="rId38"/>
                          <a:stretch>
                            <a:fillRect/>
                          </a:stretch>
                        </pic:blipFill>
                        <pic:spPr bwMode="auto">
                          <a:xfrm>
                            <a:off x="0" y="0"/>
                            <a:ext cx="5943600" cy="3169920"/>
                          </a:xfrm>
                          <a:prstGeom prst="rect">
                            <a:avLst/>
                          </a:prstGeom>
                          <a:noFill/>
                          <a:ln w="9525">
                            <a:noFill/>
                            <a:headEnd/>
                            <a:tailEnd/>
                          </a:ln>
                        </pic:spPr>
                      </pic:pic>
                    </a:graphicData>
                  </a:graphic>
                </wp:inline>
              </w:drawing>
            </w:r>
          </w:p>
        </w:tc>
        <w:bookmarkEnd w:id="85"/>
      </w:tr>
    </w:tbl>
    <w:p w:rsidR="00B51624" w:rsidRDefault="00000000">
      <w:pPr>
        <w:pStyle w:val="BodyText"/>
      </w:pPr>
      <w:hyperlink r:id="rId39">
        <w:r>
          <w:rPr>
            <w:rStyle w:val="Hyperlink"/>
          </w:rPr>
          <w:t>View figure in higher resolution here</w:t>
        </w:r>
      </w:hyperlink>
      <w:bookmarkEnd w:id="82"/>
    </w:p>
    <w:sectPr w:rsidR="00B51624">
      <w:footerReference w:type="even" r:id="rId40"/>
      <w:footerReference w:type="default" r:id="rId4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37671" w:rsidRDefault="00137671">
      <w:pPr>
        <w:spacing w:after="0"/>
      </w:pPr>
      <w:r>
        <w:separator/>
      </w:r>
    </w:p>
  </w:endnote>
  <w:endnote w:type="continuationSeparator" w:id="0">
    <w:p w:rsidR="00137671" w:rsidRDefault="001376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4390550"/>
      <w:docPartObj>
        <w:docPartGallery w:val="Page Numbers (Bottom of Page)"/>
        <w:docPartUnique/>
      </w:docPartObj>
    </w:sdtPr>
    <w:sdtContent>
      <w:p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48864071"/>
      <w:docPartObj>
        <w:docPartGallery w:val="Page Numbers (Bottom of Page)"/>
        <w:docPartUnique/>
      </w:docPartObj>
    </w:sdtPr>
    <w:sdtContent>
      <w:p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7582D" w:rsidRDefault="007758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37671" w:rsidRDefault="00137671">
      <w:pPr>
        <w:spacing w:after="0"/>
      </w:pPr>
      <w:r>
        <w:separator/>
      </w:r>
    </w:p>
  </w:footnote>
  <w:footnote w:type="continuationSeparator" w:id="0">
    <w:p w:rsidR="00137671" w:rsidRDefault="0013767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21831F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6BC213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F4F9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F78C6A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250B37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134CE2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87A13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DDCDC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7871B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9C85D3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1FC816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000A991"/>
    <w:multiLevelType w:val="multilevel"/>
    <w:tmpl w:val="EDEAB7A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170CD2DE"/>
    <w:multiLevelType w:val="multilevel"/>
    <w:tmpl w:val="9EAA5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80006862">
    <w:abstractNumId w:val="12"/>
  </w:num>
  <w:num w:numId="2" w16cid:durableId="1236278885">
    <w:abstractNumId w:val="0"/>
  </w:num>
  <w:num w:numId="3" w16cid:durableId="345210280">
    <w:abstractNumId w:val="1"/>
  </w:num>
  <w:num w:numId="4" w16cid:durableId="1048064764">
    <w:abstractNumId w:val="2"/>
  </w:num>
  <w:num w:numId="5" w16cid:durableId="868958878">
    <w:abstractNumId w:val="3"/>
  </w:num>
  <w:num w:numId="6" w16cid:durableId="919290657">
    <w:abstractNumId w:val="8"/>
  </w:num>
  <w:num w:numId="7" w16cid:durableId="1020815825">
    <w:abstractNumId w:val="4"/>
  </w:num>
  <w:num w:numId="8" w16cid:durableId="671641468">
    <w:abstractNumId w:val="5"/>
  </w:num>
  <w:num w:numId="9" w16cid:durableId="1241326511">
    <w:abstractNumId w:val="6"/>
  </w:num>
  <w:num w:numId="10" w16cid:durableId="1851020006">
    <w:abstractNumId w:val="7"/>
  </w:num>
  <w:num w:numId="11" w16cid:durableId="768307391">
    <w:abstractNumId w:val="9"/>
  </w:num>
  <w:num w:numId="12" w16cid:durableId="718699943">
    <w:abstractNumId w:val="0"/>
  </w:num>
  <w:num w:numId="13" w16cid:durableId="1505706406">
    <w:abstractNumId w:val="1"/>
  </w:num>
  <w:num w:numId="14" w16cid:durableId="193082358">
    <w:abstractNumId w:val="2"/>
  </w:num>
  <w:num w:numId="15" w16cid:durableId="1389845107">
    <w:abstractNumId w:val="3"/>
  </w:num>
  <w:num w:numId="16" w16cid:durableId="261568381">
    <w:abstractNumId w:val="8"/>
  </w:num>
  <w:num w:numId="17" w16cid:durableId="1704473729">
    <w:abstractNumId w:val="4"/>
  </w:num>
  <w:num w:numId="18" w16cid:durableId="1642995731">
    <w:abstractNumId w:val="5"/>
  </w:num>
  <w:num w:numId="19" w16cid:durableId="1530953060">
    <w:abstractNumId w:val="6"/>
  </w:num>
  <w:num w:numId="20" w16cid:durableId="646127511">
    <w:abstractNumId w:val="7"/>
  </w:num>
  <w:num w:numId="21" w16cid:durableId="1456605819">
    <w:abstractNumId w:val="9"/>
  </w:num>
  <w:num w:numId="22" w16cid:durableId="1800220673">
    <w:abstractNumId w:val="0"/>
  </w:num>
  <w:num w:numId="23" w16cid:durableId="1783069476">
    <w:abstractNumId w:val="1"/>
  </w:num>
  <w:num w:numId="24" w16cid:durableId="711730297">
    <w:abstractNumId w:val="2"/>
  </w:num>
  <w:num w:numId="25" w16cid:durableId="415370288">
    <w:abstractNumId w:val="3"/>
  </w:num>
  <w:num w:numId="26" w16cid:durableId="1231429019">
    <w:abstractNumId w:val="8"/>
  </w:num>
  <w:num w:numId="27" w16cid:durableId="200215696">
    <w:abstractNumId w:val="4"/>
  </w:num>
  <w:num w:numId="28" w16cid:durableId="1345748385">
    <w:abstractNumId w:val="5"/>
  </w:num>
  <w:num w:numId="29" w16cid:durableId="494731558">
    <w:abstractNumId w:val="6"/>
  </w:num>
  <w:num w:numId="30" w16cid:durableId="782579775">
    <w:abstractNumId w:val="7"/>
  </w:num>
  <w:num w:numId="31" w16cid:durableId="1420524247">
    <w:abstractNumId w:val="9"/>
  </w:num>
  <w:num w:numId="32" w16cid:durableId="914049076">
    <w:abstractNumId w:val="0"/>
  </w:num>
  <w:num w:numId="33" w16cid:durableId="721102632">
    <w:abstractNumId w:val="1"/>
  </w:num>
  <w:num w:numId="34" w16cid:durableId="1368095045">
    <w:abstractNumId w:val="2"/>
  </w:num>
  <w:num w:numId="35" w16cid:durableId="1230270221">
    <w:abstractNumId w:val="3"/>
  </w:num>
  <w:num w:numId="36" w16cid:durableId="634991563">
    <w:abstractNumId w:val="8"/>
  </w:num>
  <w:num w:numId="37" w16cid:durableId="538124054">
    <w:abstractNumId w:val="4"/>
  </w:num>
  <w:num w:numId="38" w16cid:durableId="1561667473">
    <w:abstractNumId w:val="5"/>
  </w:num>
  <w:num w:numId="39" w16cid:durableId="1557275424">
    <w:abstractNumId w:val="6"/>
  </w:num>
  <w:num w:numId="40" w16cid:durableId="36274134">
    <w:abstractNumId w:val="7"/>
  </w:num>
  <w:num w:numId="41" w16cid:durableId="407969607">
    <w:abstractNumId w:val="9"/>
  </w:num>
  <w:num w:numId="42" w16cid:durableId="724375175">
    <w:abstractNumId w:val="0"/>
  </w:num>
  <w:num w:numId="43" w16cid:durableId="1397360077">
    <w:abstractNumId w:val="1"/>
  </w:num>
  <w:num w:numId="44" w16cid:durableId="1133403510">
    <w:abstractNumId w:val="2"/>
  </w:num>
  <w:num w:numId="45" w16cid:durableId="276063767">
    <w:abstractNumId w:val="3"/>
  </w:num>
  <w:num w:numId="46" w16cid:durableId="744034979">
    <w:abstractNumId w:val="8"/>
  </w:num>
  <w:num w:numId="47" w16cid:durableId="974602314">
    <w:abstractNumId w:val="4"/>
  </w:num>
  <w:num w:numId="48" w16cid:durableId="1658804859">
    <w:abstractNumId w:val="5"/>
  </w:num>
  <w:num w:numId="49" w16cid:durableId="2022970773">
    <w:abstractNumId w:val="6"/>
  </w:num>
  <w:num w:numId="50" w16cid:durableId="39521232">
    <w:abstractNumId w:val="7"/>
  </w:num>
  <w:num w:numId="51" w16cid:durableId="1232698795">
    <w:abstractNumId w:val="9"/>
  </w:num>
  <w:num w:numId="52" w16cid:durableId="1436710502">
    <w:abstractNumId w:val="0"/>
  </w:num>
  <w:num w:numId="53" w16cid:durableId="546651259">
    <w:abstractNumId w:val="1"/>
  </w:num>
  <w:num w:numId="54" w16cid:durableId="1002511583">
    <w:abstractNumId w:val="2"/>
  </w:num>
  <w:num w:numId="55" w16cid:durableId="1305162670">
    <w:abstractNumId w:val="3"/>
  </w:num>
  <w:num w:numId="56" w16cid:durableId="1329555404">
    <w:abstractNumId w:val="8"/>
  </w:num>
  <w:num w:numId="57" w16cid:durableId="668365687">
    <w:abstractNumId w:val="4"/>
  </w:num>
  <w:num w:numId="58" w16cid:durableId="605696585">
    <w:abstractNumId w:val="5"/>
  </w:num>
  <w:num w:numId="59" w16cid:durableId="1067922730">
    <w:abstractNumId w:val="6"/>
  </w:num>
  <w:num w:numId="60" w16cid:durableId="70397357">
    <w:abstractNumId w:val="7"/>
  </w:num>
  <w:num w:numId="61" w16cid:durableId="1587807878">
    <w:abstractNumId w:val="9"/>
  </w:num>
  <w:num w:numId="62" w16cid:durableId="1604268284">
    <w:abstractNumId w:val="0"/>
  </w:num>
  <w:num w:numId="63" w16cid:durableId="765924077">
    <w:abstractNumId w:val="1"/>
  </w:num>
  <w:num w:numId="64" w16cid:durableId="2109082956">
    <w:abstractNumId w:val="2"/>
  </w:num>
  <w:num w:numId="65" w16cid:durableId="687292639">
    <w:abstractNumId w:val="3"/>
  </w:num>
  <w:num w:numId="66" w16cid:durableId="102268851">
    <w:abstractNumId w:val="8"/>
  </w:num>
  <w:num w:numId="67" w16cid:durableId="2016884171">
    <w:abstractNumId w:val="4"/>
  </w:num>
  <w:num w:numId="68" w16cid:durableId="974066668">
    <w:abstractNumId w:val="5"/>
  </w:num>
  <w:num w:numId="69" w16cid:durableId="721950077">
    <w:abstractNumId w:val="6"/>
  </w:num>
  <w:num w:numId="70" w16cid:durableId="1062026472">
    <w:abstractNumId w:val="7"/>
  </w:num>
  <w:num w:numId="71" w16cid:durableId="1622572393">
    <w:abstractNumId w:val="9"/>
  </w:num>
  <w:num w:numId="72" w16cid:durableId="370153603">
    <w:abstractNumId w:val="0"/>
  </w:num>
  <w:num w:numId="73" w16cid:durableId="552158112">
    <w:abstractNumId w:val="1"/>
  </w:num>
  <w:num w:numId="74" w16cid:durableId="2020161499">
    <w:abstractNumId w:val="2"/>
  </w:num>
  <w:num w:numId="75" w16cid:durableId="1833838568">
    <w:abstractNumId w:val="3"/>
  </w:num>
  <w:num w:numId="76" w16cid:durableId="469832481">
    <w:abstractNumId w:val="8"/>
  </w:num>
  <w:num w:numId="77" w16cid:durableId="1905948041">
    <w:abstractNumId w:val="4"/>
  </w:num>
  <w:num w:numId="78" w16cid:durableId="533352492">
    <w:abstractNumId w:val="5"/>
  </w:num>
  <w:num w:numId="79" w16cid:durableId="2038701867">
    <w:abstractNumId w:val="6"/>
  </w:num>
  <w:num w:numId="80" w16cid:durableId="609047573">
    <w:abstractNumId w:val="7"/>
  </w:num>
  <w:num w:numId="81" w16cid:durableId="2051414956">
    <w:abstractNumId w:val="9"/>
  </w:num>
  <w:num w:numId="82" w16cid:durableId="685985903">
    <w:abstractNumId w:val="0"/>
  </w:num>
  <w:num w:numId="83" w16cid:durableId="1541016217">
    <w:abstractNumId w:val="1"/>
  </w:num>
  <w:num w:numId="84" w16cid:durableId="120810478">
    <w:abstractNumId w:val="2"/>
  </w:num>
  <w:num w:numId="85" w16cid:durableId="383602030">
    <w:abstractNumId w:val="3"/>
  </w:num>
  <w:num w:numId="86" w16cid:durableId="740756518">
    <w:abstractNumId w:val="8"/>
  </w:num>
  <w:num w:numId="87" w16cid:durableId="447119095">
    <w:abstractNumId w:val="4"/>
  </w:num>
  <w:num w:numId="88" w16cid:durableId="302663407">
    <w:abstractNumId w:val="5"/>
  </w:num>
  <w:num w:numId="89" w16cid:durableId="1344817957">
    <w:abstractNumId w:val="6"/>
  </w:num>
  <w:num w:numId="90" w16cid:durableId="1345128660">
    <w:abstractNumId w:val="7"/>
  </w:num>
  <w:num w:numId="91" w16cid:durableId="1189181847">
    <w:abstractNumId w:val="9"/>
  </w:num>
  <w:num w:numId="92" w16cid:durableId="377051066">
    <w:abstractNumId w:val="0"/>
  </w:num>
  <w:num w:numId="93" w16cid:durableId="1147432775">
    <w:abstractNumId w:val="1"/>
  </w:num>
  <w:num w:numId="94" w16cid:durableId="1305159388">
    <w:abstractNumId w:val="2"/>
  </w:num>
  <w:num w:numId="95" w16cid:durableId="86123863">
    <w:abstractNumId w:val="3"/>
  </w:num>
  <w:num w:numId="96" w16cid:durableId="1607929796">
    <w:abstractNumId w:val="8"/>
  </w:num>
  <w:num w:numId="97" w16cid:durableId="1562405620">
    <w:abstractNumId w:val="4"/>
  </w:num>
  <w:num w:numId="98" w16cid:durableId="1268855619">
    <w:abstractNumId w:val="5"/>
  </w:num>
  <w:num w:numId="99" w16cid:durableId="79911588">
    <w:abstractNumId w:val="6"/>
  </w:num>
  <w:num w:numId="100" w16cid:durableId="369568832">
    <w:abstractNumId w:val="7"/>
  </w:num>
  <w:num w:numId="101" w16cid:durableId="608898070">
    <w:abstractNumId w:val="9"/>
  </w:num>
  <w:num w:numId="102" w16cid:durableId="254634026">
    <w:abstractNumId w:val="0"/>
  </w:num>
  <w:num w:numId="103" w16cid:durableId="774711772">
    <w:abstractNumId w:val="1"/>
  </w:num>
  <w:num w:numId="104" w16cid:durableId="1203439327">
    <w:abstractNumId w:val="2"/>
  </w:num>
  <w:num w:numId="105" w16cid:durableId="1097553146">
    <w:abstractNumId w:val="3"/>
  </w:num>
  <w:num w:numId="106" w16cid:durableId="519121351">
    <w:abstractNumId w:val="8"/>
  </w:num>
  <w:num w:numId="107" w16cid:durableId="1539394795">
    <w:abstractNumId w:val="4"/>
  </w:num>
  <w:num w:numId="108" w16cid:durableId="1116219842">
    <w:abstractNumId w:val="5"/>
  </w:num>
  <w:num w:numId="109" w16cid:durableId="1024945098">
    <w:abstractNumId w:val="6"/>
  </w:num>
  <w:num w:numId="110" w16cid:durableId="645204197">
    <w:abstractNumId w:val="7"/>
  </w:num>
  <w:num w:numId="111" w16cid:durableId="152526635">
    <w:abstractNumId w:val="9"/>
  </w:num>
  <w:num w:numId="112" w16cid:durableId="885289329">
    <w:abstractNumId w:val="0"/>
  </w:num>
  <w:num w:numId="113" w16cid:durableId="131362506">
    <w:abstractNumId w:val="1"/>
  </w:num>
  <w:num w:numId="114" w16cid:durableId="536234116">
    <w:abstractNumId w:val="2"/>
  </w:num>
  <w:num w:numId="115" w16cid:durableId="1667396297">
    <w:abstractNumId w:val="3"/>
  </w:num>
  <w:num w:numId="116" w16cid:durableId="585383086">
    <w:abstractNumId w:val="8"/>
  </w:num>
  <w:num w:numId="117" w16cid:durableId="290864134">
    <w:abstractNumId w:val="4"/>
  </w:num>
  <w:num w:numId="118" w16cid:durableId="860900412">
    <w:abstractNumId w:val="5"/>
  </w:num>
  <w:num w:numId="119" w16cid:durableId="423494672">
    <w:abstractNumId w:val="6"/>
  </w:num>
  <w:num w:numId="120" w16cid:durableId="2001762187">
    <w:abstractNumId w:val="7"/>
  </w:num>
  <w:num w:numId="121" w16cid:durableId="1853643264">
    <w:abstractNumId w:val="9"/>
  </w:num>
  <w:num w:numId="122" w16cid:durableId="430442124">
    <w:abstractNumId w:val="0"/>
  </w:num>
  <w:num w:numId="123" w16cid:durableId="1292905971">
    <w:abstractNumId w:val="1"/>
  </w:num>
  <w:num w:numId="124" w16cid:durableId="1077441580">
    <w:abstractNumId w:val="2"/>
  </w:num>
  <w:num w:numId="125" w16cid:durableId="611786385">
    <w:abstractNumId w:val="3"/>
  </w:num>
  <w:num w:numId="126" w16cid:durableId="270749163">
    <w:abstractNumId w:val="8"/>
  </w:num>
  <w:num w:numId="127" w16cid:durableId="369693181">
    <w:abstractNumId w:val="4"/>
  </w:num>
  <w:num w:numId="128" w16cid:durableId="355205279">
    <w:abstractNumId w:val="5"/>
  </w:num>
  <w:num w:numId="129" w16cid:durableId="2028870757">
    <w:abstractNumId w:val="6"/>
  </w:num>
  <w:num w:numId="130" w16cid:durableId="1821657341">
    <w:abstractNumId w:val="7"/>
  </w:num>
  <w:num w:numId="131" w16cid:durableId="1571387719">
    <w:abstractNumId w:val="9"/>
  </w:num>
  <w:num w:numId="132" w16cid:durableId="55907428">
    <w:abstractNumId w:val="0"/>
  </w:num>
  <w:num w:numId="133" w16cid:durableId="1663316881">
    <w:abstractNumId w:val="1"/>
  </w:num>
  <w:num w:numId="134" w16cid:durableId="1842697872">
    <w:abstractNumId w:val="2"/>
  </w:num>
  <w:num w:numId="135" w16cid:durableId="521283160">
    <w:abstractNumId w:val="3"/>
  </w:num>
  <w:num w:numId="136" w16cid:durableId="2824120">
    <w:abstractNumId w:val="8"/>
  </w:num>
  <w:num w:numId="137" w16cid:durableId="1869834899">
    <w:abstractNumId w:val="4"/>
  </w:num>
  <w:num w:numId="138" w16cid:durableId="1567033674">
    <w:abstractNumId w:val="5"/>
  </w:num>
  <w:num w:numId="139" w16cid:durableId="997222988">
    <w:abstractNumId w:val="6"/>
  </w:num>
  <w:num w:numId="140" w16cid:durableId="937341">
    <w:abstractNumId w:val="7"/>
  </w:num>
  <w:num w:numId="141" w16cid:durableId="1947805026">
    <w:abstractNumId w:val="9"/>
  </w:num>
  <w:num w:numId="142" w16cid:durableId="1496533202">
    <w:abstractNumId w:val="0"/>
  </w:num>
  <w:num w:numId="143" w16cid:durableId="1781608643">
    <w:abstractNumId w:val="1"/>
  </w:num>
  <w:num w:numId="144" w16cid:durableId="803156873">
    <w:abstractNumId w:val="2"/>
  </w:num>
  <w:num w:numId="145" w16cid:durableId="1499275403">
    <w:abstractNumId w:val="3"/>
  </w:num>
  <w:num w:numId="146" w16cid:durableId="446580885">
    <w:abstractNumId w:val="8"/>
  </w:num>
  <w:num w:numId="147" w16cid:durableId="1348756348">
    <w:abstractNumId w:val="4"/>
  </w:num>
  <w:num w:numId="148" w16cid:durableId="1453590566">
    <w:abstractNumId w:val="5"/>
  </w:num>
  <w:num w:numId="149" w16cid:durableId="1468931875">
    <w:abstractNumId w:val="6"/>
  </w:num>
  <w:num w:numId="150" w16cid:durableId="1509102183">
    <w:abstractNumId w:val="7"/>
  </w:num>
  <w:num w:numId="151" w16cid:durableId="1876652251">
    <w:abstractNumId w:val="9"/>
  </w:num>
  <w:num w:numId="152" w16cid:durableId="852458504">
    <w:abstractNumId w:val="0"/>
  </w:num>
  <w:num w:numId="153" w16cid:durableId="523396769">
    <w:abstractNumId w:val="1"/>
  </w:num>
  <w:num w:numId="154" w16cid:durableId="907153136">
    <w:abstractNumId w:val="2"/>
  </w:num>
  <w:num w:numId="155" w16cid:durableId="926042438">
    <w:abstractNumId w:val="3"/>
  </w:num>
  <w:num w:numId="156" w16cid:durableId="1442919935">
    <w:abstractNumId w:val="8"/>
  </w:num>
  <w:num w:numId="157" w16cid:durableId="1619027493">
    <w:abstractNumId w:val="4"/>
  </w:num>
  <w:num w:numId="158" w16cid:durableId="148793971">
    <w:abstractNumId w:val="5"/>
  </w:num>
  <w:num w:numId="159" w16cid:durableId="541291621">
    <w:abstractNumId w:val="6"/>
  </w:num>
  <w:num w:numId="160" w16cid:durableId="1593659653">
    <w:abstractNumId w:val="7"/>
  </w:num>
  <w:num w:numId="161" w16cid:durableId="1568225260">
    <w:abstractNumId w:val="9"/>
  </w:num>
  <w:num w:numId="162" w16cid:durableId="1200237934">
    <w:abstractNumId w:val="0"/>
  </w:num>
  <w:num w:numId="163" w16cid:durableId="1875344070">
    <w:abstractNumId w:val="1"/>
  </w:num>
  <w:num w:numId="164" w16cid:durableId="388457198">
    <w:abstractNumId w:val="2"/>
  </w:num>
  <w:num w:numId="165" w16cid:durableId="892545592">
    <w:abstractNumId w:val="3"/>
  </w:num>
  <w:num w:numId="166" w16cid:durableId="449327947">
    <w:abstractNumId w:val="8"/>
  </w:num>
  <w:num w:numId="167" w16cid:durableId="974290446">
    <w:abstractNumId w:val="4"/>
  </w:num>
  <w:num w:numId="168" w16cid:durableId="1133251047">
    <w:abstractNumId w:val="5"/>
  </w:num>
  <w:num w:numId="169" w16cid:durableId="1309090062">
    <w:abstractNumId w:val="6"/>
  </w:num>
  <w:num w:numId="170" w16cid:durableId="64107766">
    <w:abstractNumId w:val="7"/>
  </w:num>
  <w:num w:numId="171" w16cid:durableId="2019766087">
    <w:abstractNumId w:val="9"/>
  </w:num>
  <w:num w:numId="172" w16cid:durableId="1938781874">
    <w:abstractNumId w:val="0"/>
  </w:num>
  <w:num w:numId="173" w16cid:durableId="506286924">
    <w:abstractNumId w:val="1"/>
  </w:num>
  <w:num w:numId="174" w16cid:durableId="927538527">
    <w:abstractNumId w:val="2"/>
  </w:num>
  <w:num w:numId="175" w16cid:durableId="604070383">
    <w:abstractNumId w:val="3"/>
  </w:num>
  <w:num w:numId="176" w16cid:durableId="1351033220">
    <w:abstractNumId w:val="8"/>
  </w:num>
  <w:num w:numId="177" w16cid:durableId="935094246">
    <w:abstractNumId w:val="4"/>
  </w:num>
  <w:num w:numId="178" w16cid:durableId="942420248">
    <w:abstractNumId w:val="5"/>
  </w:num>
  <w:num w:numId="179" w16cid:durableId="1085879028">
    <w:abstractNumId w:val="6"/>
  </w:num>
  <w:num w:numId="180" w16cid:durableId="2140603918">
    <w:abstractNumId w:val="7"/>
  </w:num>
  <w:num w:numId="181" w16cid:durableId="1130513091">
    <w:abstractNumId w:val="9"/>
  </w:num>
  <w:num w:numId="182" w16cid:durableId="1800764588">
    <w:abstractNumId w:val="0"/>
  </w:num>
  <w:num w:numId="183" w16cid:durableId="151063775">
    <w:abstractNumId w:val="1"/>
  </w:num>
  <w:num w:numId="184" w16cid:durableId="800876816">
    <w:abstractNumId w:val="2"/>
  </w:num>
  <w:num w:numId="185" w16cid:durableId="373428921">
    <w:abstractNumId w:val="3"/>
  </w:num>
  <w:num w:numId="186" w16cid:durableId="656030024">
    <w:abstractNumId w:val="8"/>
  </w:num>
  <w:num w:numId="187" w16cid:durableId="1830242999">
    <w:abstractNumId w:val="4"/>
  </w:num>
  <w:num w:numId="188" w16cid:durableId="198202259">
    <w:abstractNumId w:val="5"/>
  </w:num>
  <w:num w:numId="189" w16cid:durableId="1660421877">
    <w:abstractNumId w:val="6"/>
  </w:num>
  <w:num w:numId="190" w16cid:durableId="516114567">
    <w:abstractNumId w:val="7"/>
  </w:num>
  <w:num w:numId="191" w16cid:durableId="525991980">
    <w:abstractNumId w:val="9"/>
  </w:num>
  <w:num w:numId="192" w16cid:durableId="3630121">
    <w:abstractNumId w:val="0"/>
  </w:num>
  <w:num w:numId="193" w16cid:durableId="1094203996">
    <w:abstractNumId w:val="1"/>
  </w:num>
  <w:num w:numId="194" w16cid:durableId="552695008">
    <w:abstractNumId w:val="2"/>
  </w:num>
  <w:num w:numId="195" w16cid:durableId="469789231">
    <w:abstractNumId w:val="3"/>
  </w:num>
  <w:num w:numId="196" w16cid:durableId="1040478137">
    <w:abstractNumId w:val="8"/>
  </w:num>
  <w:num w:numId="197" w16cid:durableId="203450541">
    <w:abstractNumId w:val="4"/>
  </w:num>
  <w:num w:numId="198" w16cid:durableId="67701598">
    <w:abstractNumId w:val="5"/>
  </w:num>
  <w:num w:numId="199" w16cid:durableId="699206904">
    <w:abstractNumId w:val="6"/>
  </w:num>
  <w:num w:numId="200" w16cid:durableId="426969593">
    <w:abstractNumId w:val="7"/>
  </w:num>
  <w:num w:numId="201" w16cid:durableId="1628201423">
    <w:abstractNumId w:val="9"/>
  </w:num>
  <w:num w:numId="202" w16cid:durableId="1983726804">
    <w:abstractNumId w:val="0"/>
  </w:num>
  <w:num w:numId="203" w16cid:durableId="2094425511">
    <w:abstractNumId w:val="1"/>
  </w:num>
  <w:num w:numId="204" w16cid:durableId="1342198227">
    <w:abstractNumId w:val="2"/>
  </w:num>
  <w:num w:numId="205" w16cid:durableId="1551921526">
    <w:abstractNumId w:val="3"/>
  </w:num>
  <w:num w:numId="206" w16cid:durableId="249433632">
    <w:abstractNumId w:val="8"/>
  </w:num>
  <w:num w:numId="207" w16cid:durableId="624311891">
    <w:abstractNumId w:val="4"/>
  </w:num>
  <w:num w:numId="208" w16cid:durableId="158084228">
    <w:abstractNumId w:val="5"/>
  </w:num>
  <w:num w:numId="209" w16cid:durableId="402795494">
    <w:abstractNumId w:val="6"/>
  </w:num>
  <w:num w:numId="210" w16cid:durableId="894395251">
    <w:abstractNumId w:val="7"/>
  </w:num>
  <w:num w:numId="211" w16cid:durableId="343478926">
    <w:abstractNumId w:val="9"/>
  </w:num>
  <w:num w:numId="212" w16cid:durableId="1984697040">
    <w:abstractNumId w:val="0"/>
  </w:num>
  <w:num w:numId="213" w16cid:durableId="800265376">
    <w:abstractNumId w:val="1"/>
  </w:num>
  <w:num w:numId="214" w16cid:durableId="1158960609">
    <w:abstractNumId w:val="2"/>
  </w:num>
  <w:num w:numId="215" w16cid:durableId="428307645">
    <w:abstractNumId w:val="3"/>
  </w:num>
  <w:num w:numId="216" w16cid:durableId="1197542873">
    <w:abstractNumId w:val="8"/>
  </w:num>
  <w:num w:numId="217" w16cid:durableId="42484848">
    <w:abstractNumId w:val="4"/>
  </w:num>
  <w:num w:numId="218" w16cid:durableId="282811016">
    <w:abstractNumId w:val="5"/>
  </w:num>
  <w:num w:numId="219" w16cid:durableId="991720226">
    <w:abstractNumId w:val="6"/>
  </w:num>
  <w:num w:numId="220" w16cid:durableId="1746610160">
    <w:abstractNumId w:val="7"/>
  </w:num>
  <w:num w:numId="221" w16cid:durableId="132716895">
    <w:abstractNumId w:val="9"/>
  </w:num>
  <w:num w:numId="222" w16cid:durableId="2145852390">
    <w:abstractNumId w:val="0"/>
  </w:num>
  <w:num w:numId="223" w16cid:durableId="1671060778">
    <w:abstractNumId w:val="1"/>
  </w:num>
  <w:num w:numId="224" w16cid:durableId="90709333">
    <w:abstractNumId w:val="2"/>
  </w:num>
  <w:num w:numId="225" w16cid:durableId="980354524">
    <w:abstractNumId w:val="3"/>
  </w:num>
  <w:num w:numId="226" w16cid:durableId="1829785864">
    <w:abstractNumId w:val="8"/>
  </w:num>
  <w:num w:numId="227" w16cid:durableId="1665279475">
    <w:abstractNumId w:val="4"/>
  </w:num>
  <w:num w:numId="228" w16cid:durableId="1683898309">
    <w:abstractNumId w:val="5"/>
  </w:num>
  <w:num w:numId="229" w16cid:durableId="1837840453">
    <w:abstractNumId w:val="6"/>
  </w:num>
  <w:num w:numId="230" w16cid:durableId="1271162100">
    <w:abstractNumId w:val="7"/>
  </w:num>
  <w:num w:numId="231" w16cid:durableId="386417525">
    <w:abstractNumId w:val="9"/>
  </w:num>
  <w:num w:numId="232" w16cid:durableId="312685786">
    <w:abstractNumId w:val="0"/>
  </w:num>
  <w:num w:numId="233" w16cid:durableId="1709142893">
    <w:abstractNumId w:val="1"/>
  </w:num>
  <w:num w:numId="234" w16cid:durableId="1685011030">
    <w:abstractNumId w:val="2"/>
  </w:num>
  <w:num w:numId="235" w16cid:durableId="1641762845">
    <w:abstractNumId w:val="3"/>
  </w:num>
  <w:num w:numId="236" w16cid:durableId="1588146878">
    <w:abstractNumId w:val="8"/>
  </w:num>
  <w:num w:numId="237" w16cid:durableId="1879588042">
    <w:abstractNumId w:val="4"/>
  </w:num>
  <w:num w:numId="238" w16cid:durableId="1162817546">
    <w:abstractNumId w:val="5"/>
  </w:num>
  <w:num w:numId="239" w16cid:durableId="1325553601">
    <w:abstractNumId w:val="6"/>
  </w:num>
  <w:num w:numId="240" w16cid:durableId="1712221390">
    <w:abstractNumId w:val="7"/>
  </w:num>
  <w:num w:numId="241" w16cid:durableId="1496610616">
    <w:abstractNumId w:val="9"/>
  </w:num>
  <w:num w:numId="242" w16cid:durableId="880095004">
    <w:abstractNumId w:val="0"/>
  </w:num>
  <w:num w:numId="243" w16cid:durableId="1747144149">
    <w:abstractNumId w:val="1"/>
  </w:num>
  <w:num w:numId="244" w16cid:durableId="909850294">
    <w:abstractNumId w:val="2"/>
  </w:num>
  <w:num w:numId="245" w16cid:durableId="874584195">
    <w:abstractNumId w:val="3"/>
  </w:num>
  <w:num w:numId="246" w16cid:durableId="1181580814">
    <w:abstractNumId w:val="8"/>
  </w:num>
  <w:num w:numId="247" w16cid:durableId="81100018">
    <w:abstractNumId w:val="4"/>
  </w:num>
  <w:num w:numId="248" w16cid:durableId="460610493">
    <w:abstractNumId w:val="5"/>
  </w:num>
  <w:num w:numId="249" w16cid:durableId="2073654632">
    <w:abstractNumId w:val="6"/>
  </w:num>
  <w:num w:numId="250" w16cid:durableId="993873250">
    <w:abstractNumId w:val="7"/>
  </w:num>
  <w:num w:numId="251" w16cid:durableId="1495031026">
    <w:abstractNumId w:val="9"/>
  </w:num>
  <w:num w:numId="252" w16cid:durableId="1996102608">
    <w:abstractNumId w:val="0"/>
  </w:num>
  <w:num w:numId="253" w16cid:durableId="441727458">
    <w:abstractNumId w:val="1"/>
  </w:num>
  <w:num w:numId="254" w16cid:durableId="1856918545">
    <w:abstractNumId w:val="2"/>
  </w:num>
  <w:num w:numId="255" w16cid:durableId="381517191">
    <w:abstractNumId w:val="3"/>
  </w:num>
  <w:num w:numId="256" w16cid:durableId="441346869">
    <w:abstractNumId w:val="8"/>
  </w:num>
  <w:num w:numId="257" w16cid:durableId="407045482">
    <w:abstractNumId w:val="4"/>
  </w:num>
  <w:num w:numId="258" w16cid:durableId="1909488228">
    <w:abstractNumId w:val="5"/>
  </w:num>
  <w:num w:numId="259" w16cid:durableId="1990935517">
    <w:abstractNumId w:val="6"/>
  </w:num>
  <w:num w:numId="260" w16cid:durableId="1757434171">
    <w:abstractNumId w:val="7"/>
  </w:num>
  <w:num w:numId="261" w16cid:durableId="248199874">
    <w:abstractNumId w:val="9"/>
  </w:num>
  <w:num w:numId="262" w16cid:durableId="515003503">
    <w:abstractNumId w:val="0"/>
  </w:num>
  <w:num w:numId="263" w16cid:durableId="661544572">
    <w:abstractNumId w:val="1"/>
  </w:num>
  <w:num w:numId="264" w16cid:durableId="1274436970">
    <w:abstractNumId w:val="2"/>
  </w:num>
  <w:num w:numId="265" w16cid:durableId="1434396773">
    <w:abstractNumId w:val="3"/>
  </w:num>
  <w:num w:numId="266" w16cid:durableId="902985580">
    <w:abstractNumId w:val="8"/>
  </w:num>
  <w:num w:numId="267" w16cid:durableId="2039040671">
    <w:abstractNumId w:val="4"/>
  </w:num>
  <w:num w:numId="268" w16cid:durableId="2028479985">
    <w:abstractNumId w:val="5"/>
  </w:num>
  <w:num w:numId="269" w16cid:durableId="1044906188">
    <w:abstractNumId w:val="6"/>
  </w:num>
  <w:num w:numId="270" w16cid:durableId="1289555517">
    <w:abstractNumId w:val="7"/>
  </w:num>
  <w:num w:numId="271" w16cid:durableId="2111662680">
    <w:abstractNumId w:val="9"/>
  </w:num>
  <w:num w:numId="272" w16cid:durableId="678775536">
    <w:abstractNumId w:val="0"/>
  </w:num>
  <w:num w:numId="273" w16cid:durableId="1474565047">
    <w:abstractNumId w:val="1"/>
  </w:num>
  <w:num w:numId="274" w16cid:durableId="1357777794">
    <w:abstractNumId w:val="2"/>
  </w:num>
  <w:num w:numId="275" w16cid:durableId="1460104575">
    <w:abstractNumId w:val="3"/>
  </w:num>
  <w:num w:numId="276" w16cid:durableId="833762369">
    <w:abstractNumId w:val="8"/>
  </w:num>
  <w:num w:numId="277" w16cid:durableId="51655800">
    <w:abstractNumId w:val="4"/>
  </w:num>
  <w:num w:numId="278" w16cid:durableId="667565049">
    <w:abstractNumId w:val="5"/>
  </w:num>
  <w:num w:numId="279" w16cid:durableId="1601454845">
    <w:abstractNumId w:val="6"/>
  </w:num>
  <w:num w:numId="280" w16cid:durableId="1667443277">
    <w:abstractNumId w:val="7"/>
  </w:num>
  <w:num w:numId="281" w16cid:durableId="1049770547">
    <w:abstractNumId w:val="9"/>
  </w:num>
  <w:num w:numId="282" w16cid:durableId="1040085354">
    <w:abstractNumId w:val="0"/>
  </w:num>
  <w:num w:numId="283" w16cid:durableId="410858099">
    <w:abstractNumId w:val="1"/>
  </w:num>
  <w:num w:numId="284" w16cid:durableId="185755079">
    <w:abstractNumId w:val="2"/>
  </w:num>
  <w:num w:numId="285" w16cid:durableId="723678173">
    <w:abstractNumId w:val="3"/>
  </w:num>
  <w:num w:numId="286" w16cid:durableId="438841190">
    <w:abstractNumId w:val="8"/>
  </w:num>
  <w:num w:numId="287" w16cid:durableId="1067263884">
    <w:abstractNumId w:val="4"/>
  </w:num>
  <w:num w:numId="288" w16cid:durableId="840779122">
    <w:abstractNumId w:val="5"/>
  </w:num>
  <w:num w:numId="289" w16cid:durableId="1551385737">
    <w:abstractNumId w:val="6"/>
  </w:num>
  <w:num w:numId="290" w16cid:durableId="456608312">
    <w:abstractNumId w:val="7"/>
  </w:num>
  <w:num w:numId="291" w16cid:durableId="1984701277">
    <w:abstractNumId w:val="9"/>
  </w:num>
  <w:num w:numId="292" w16cid:durableId="1457944796">
    <w:abstractNumId w:val="0"/>
  </w:num>
  <w:num w:numId="293" w16cid:durableId="1380780317">
    <w:abstractNumId w:val="1"/>
  </w:num>
  <w:num w:numId="294" w16cid:durableId="1437796501">
    <w:abstractNumId w:val="2"/>
  </w:num>
  <w:num w:numId="295" w16cid:durableId="1175071739">
    <w:abstractNumId w:val="3"/>
  </w:num>
  <w:num w:numId="296" w16cid:durableId="554200887">
    <w:abstractNumId w:val="8"/>
  </w:num>
  <w:num w:numId="297" w16cid:durableId="1073815680">
    <w:abstractNumId w:val="4"/>
  </w:num>
  <w:num w:numId="298" w16cid:durableId="1294485479">
    <w:abstractNumId w:val="5"/>
  </w:num>
  <w:num w:numId="299" w16cid:durableId="168058260">
    <w:abstractNumId w:val="6"/>
  </w:num>
  <w:num w:numId="300" w16cid:durableId="905922724">
    <w:abstractNumId w:val="7"/>
  </w:num>
  <w:num w:numId="301" w16cid:durableId="1482306058">
    <w:abstractNumId w:val="9"/>
  </w:num>
  <w:num w:numId="302" w16cid:durableId="2115318605">
    <w:abstractNumId w:val="10"/>
  </w:num>
  <w:num w:numId="303" w16cid:durableId="15222759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001A2"/>
    <w:rsid w:val="000112B5"/>
    <w:rsid w:val="0005709B"/>
    <w:rsid w:val="00057595"/>
    <w:rsid w:val="00137671"/>
    <w:rsid w:val="001A103C"/>
    <w:rsid w:val="0046018F"/>
    <w:rsid w:val="005939A4"/>
    <w:rsid w:val="006001A2"/>
    <w:rsid w:val="00625087"/>
    <w:rsid w:val="0077582D"/>
    <w:rsid w:val="00873B7D"/>
    <w:rsid w:val="008A18BF"/>
    <w:rsid w:val="00B51624"/>
    <w:rsid w:val="00EA713A"/>
    <w:rsid w:val="00EB73B3"/>
    <w:rsid w:val="00F35D88"/>
    <w:rsid w:val="00F71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B0B8EA"/>
  <w15:docId w15:val="{EECED831-25D9-DD4F-808F-38893732F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9A4"/>
    <w:rPr>
      <w:rFonts w:ascii="Arial" w:hAnsi="Arial"/>
    </w:rPr>
  </w:style>
  <w:style w:type="paragraph" w:styleId="Heading1">
    <w:name w:val="heading 1"/>
    <w:basedOn w:val="Normal"/>
    <w:next w:val="BodyText"/>
    <w:uiPriority w:val="9"/>
    <w:qFormat/>
    <w:rsid w:val="0046018F"/>
    <w:pPr>
      <w:keepNext/>
      <w:keepLines/>
      <w:spacing w:before="480" w:after="0" w:line="360" w:lineRule="auto"/>
      <w:jc w:val="both"/>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6018F"/>
    <w:pPr>
      <w:keepNext/>
      <w:keepLines/>
      <w:spacing w:before="200" w:after="0" w:line="360" w:lineRule="auto"/>
      <w:jc w:val="both"/>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0112B5"/>
    <w:pPr>
      <w:keepNext/>
      <w:keepLines/>
      <w:spacing w:before="200" w:after="0"/>
      <w:jc w:val="both"/>
      <w:outlineLvl w:val="2"/>
    </w:pPr>
    <w:rPr>
      <w:rFonts w:eastAsiaTheme="majorEastAsia"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12B5"/>
    <w:pPr>
      <w:spacing w:before="180" w:after="180" w:line="360" w:lineRule="auto"/>
      <w:jc w:val="both"/>
    </w:pPr>
  </w:style>
  <w:style w:type="paragraph" w:customStyle="1" w:styleId="FirstParagraph">
    <w:name w:val="First Paragraph"/>
    <w:basedOn w:val="BodyText"/>
    <w:next w:val="BodyText"/>
    <w:qFormat/>
    <w:rsid w:val="000112B5"/>
  </w:style>
  <w:style w:type="paragraph" w:customStyle="1" w:styleId="Compact">
    <w:name w:val="Compact"/>
    <w:basedOn w:val="BodyText"/>
    <w:qFormat/>
    <w:pPr>
      <w:spacing w:before="36" w:after="36"/>
    </w:pPr>
  </w:style>
  <w:style w:type="paragraph" w:styleId="Title">
    <w:name w:val="Title"/>
    <w:basedOn w:val="Normal"/>
    <w:next w:val="BodyText"/>
    <w:qFormat/>
    <w:rsid w:val="000112B5"/>
    <w:pPr>
      <w:keepNext/>
      <w:keepLines/>
      <w:spacing w:before="480" w:after="240"/>
      <w:jc w:val="both"/>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0112B5"/>
    <w:pPr>
      <w:spacing w:before="240"/>
    </w:pPr>
    <w:rPr>
      <w:rFonts w:ascii="Arial" w:hAnsi="Arial"/>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0112B5"/>
    <w:pPr>
      <w:keepNext/>
      <w:keepLines/>
      <w:spacing w:before="300" w:after="300"/>
      <w:jc w:val="both"/>
    </w:pPr>
    <w:rPr>
      <w:sz w:val="20"/>
      <w:szCs w:val="20"/>
    </w:rPr>
  </w:style>
  <w:style w:type="paragraph" w:styleId="Bibliography">
    <w:name w:val="Bibliography"/>
    <w:basedOn w:val="Normal"/>
    <w:qFormat/>
    <w:rsid w:val="0046018F"/>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A713A"/>
    <w:pPr>
      <w:keepNext/>
    </w:pPr>
    <w:rPr>
      <w:i w:val="0"/>
    </w:r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tyle1">
    <w:name w:val="Style1"/>
    <w:basedOn w:val="Title"/>
    <w:qFormat/>
    <w:rsid w:val="000112B5"/>
    <w:rPr>
      <w:rFonts w:ascii="Arial" w:hAnsi="Arial"/>
    </w:rPr>
  </w:style>
  <w:style w:type="character" w:customStyle="1" w:styleId="BodyTextChar">
    <w:name w:val="Body Text Char"/>
    <w:basedOn w:val="DefaultParagraphFont"/>
    <w:link w:val="BodyText"/>
    <w:rsid w:val="000112B5"/>
    <w:rPr>
      <w:rFonts w:ascii="Arial" w:hAnsi="Arial"/>
    </w:rPr>
  </w:style>
  <w:style w:type="paragraph" w:styleId="Footer">
    <w:name w:val="footer"/>
    <w:basedOn w:val="Normal"/>
    <w:link w:val="FooterChar"/>
    <w:rsid w:val="0077582D"/>
    <w:pPr>
      <w:tabs>
        <w:tab w:val="center" w:pos="4680"/>
        <w:tab w:val="right" w:pos="9360"/>
      </w:tabs>
      <w:spacing w:after="0"/>
    </w:pPr>
  </w:style>
  <w:style w:type="character" w:customStyle="1" w:styleId="FooterChar">
    <w:name w:val="Footer Char"/>
    <w:basedOn w:val="DefaultParagraphFont"/>
    <w:link w:val="Footer"/>
    <w:rsid w:val="0077582D"/>
    <w:rPr>
      <w:rFonts w:ascii="Arial" w:hAnsi="Arial"/>
    </w:rPr>
  </w:style>
  <w:style w:type="character" w:styleId="PageNumber">
    <w:name w:val="page number"/>
    <w:basedOn w:val="DefaultParagraphFont"/>
    <w:rsid w:val="0077582D"/>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dx.doi.org/10.1016/j.annepidem.2022.07.007" TargetMode="External"/><Relationship Id="rId18" Type="http://schemas.openxmlformats.org/officeDocument/2006/relationships/hyperlink" Target="https://ascopubs.org/doi/abs/10.1200/JCO.2023.41.16_suppl.e21194" TargetMode="External"/><Relationship Id="rId26" Type="http://schemas.openxmlformats.org/officeDocument/2006/relationships/hyperlink" Target="https://journal.r-project.org/archive/2021/RJ-2021-073/" TargetMode="External"/><Relationship Id="rId39" Type="http://schemas.openxmlformats.org/officeDocument/2006/relationships/hyperlink" Target="https://github.com/janickweberpals/encore-process-manuscript/blob/main/manuscript/Figure_3_balance.png" TargetMode="External"/><Relationship Id="rId21" Type="http://schemas.openxmlformats.org/officeDocument/2006/relationships/hyperlink" Target="http://dx.doi.org/10.1002/pst.1917" TargetMode="External"/><Relationship Id="rId34" Type="http://schemas.openxmlformats.org/officeDocument/2006/relationships/image" Target="media/image4.png"/><Relationship Id="rId42" Type="http://schemas.openxmlformats.org/officeDocument/2006/relationships/fontTable" Target="fontTable.xml"/><Relationship Id="rId7" Type="http://schemas.openxmlformats.org/officeDocument/2006/relationships/hyperlink" Target="SWANG1@BWH.HARVARD.EDU" TargetMode="External"/><Relationship Id="rId2" Type="http://schemas.openxmlformats.org/officeDocument/2006/relationships/styles" Target="styles.xml"/><Relationship Id="rId16" Type="http://schemas.openxmlformats.org/officeDocument/2006/relationships/hyperlink" Target="https://www.fda.gov/about-fda/oncology-center-excellence/calibrating-real-world-evidence-studies-oncology-against-randomized-trials-encore" TargetMode="External"/><Relationship Id="rId20" Type="http://schemas.openxmlformats.org/officeDocument/2006/relationships/hyperlink" Target="https://doi.org/10.1016/j.jclinepi.2016.04.014" TargetMode="External"/><Relationship Id="rId29" Type="http://schemas.openxmlformats.org/officeDocument/2006/relationships/hyperlink" Target="https://doi.org/10.32614/RJ-2021-053" TargetMode="External"/><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janickweberpals/encore.analytics/" TargetMode="External"/><Relationship Id="rId24" Type="http://schemas.openxmlformats.org/officeDocument/2006/relationships/hyperlink" Target="https://github.com/PamelaShaw/Missing-Confounders-Methods" TargetMode="External"/><Relationship Id="rId32" Type="http://schemas.openxmlformats.org/officeDocument/2006/relationships/image" Target="media/image2.png"/><Relationship Id="rId37" Type="http://schemas.openxmlformats.org/officeDocument/2006/relationships/hyperlink" Target="https://github.com/janickweberpals/encore-process-manuscript/blob/main/manuscript/Figure_2_utlization.png"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doi.org/10.1136/bmjmed-2023-000709" TargetMode="External"/><Relationship Id="rId23" Type="http://schemas.openxmlformats.org/officeDocument/2006/relationships/hyperlink" Target="https://arxiv.org/abs/2405.10925" TargetMode="External"/><Relationship Id="rId28" Type="http://schemas.openxmlformats.org/officeDocument/2006/relationships/hyperlink" Target="https://github.com/janickweberpals/encore.analytics" TargetMode="External"/><Relationship Id="rId36" Type="http://schemas.openxmlformats.org/officeDocument/2006/relationships/image" Target="media/image5.png"/><Relationship Id="rId10" Type="http://schemas.openxmlformats.org/officeDocument/2006/relationships/hyperlink" Target="https://janickweberpals.github.io/imputation-ps-workflows/" TargetMode="External"/><Relationship Id="rId19" Type="http://schemas.openxmlformats.org/officeDocument/2006/relationships/hyperlink" Target="https://doi.org/10.1016/j.jval.2022.09.001" TargetMode="External"/><Relationship Id="rId31"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github.com/janickweberpals/encore.analytics/" TargetMode="External"/><Relationship Id="rId14" Type="http://schemas.openxmlformats.org/officeDocument/2006/relationships/hyperlink" Target="https://doi.org/10.1001/jama.2023.4221" TargetMode="External"/><Relationship Id="rId22" Type="http://schemas.openxmlformats.org/officeDocument/2006/relationships/hyperlink" Target="%20%20%20%20%20%20%20%20%20%20%20%20%20%20%20%20%20%20%20%20https://www.tandfonline.com/doi/abs/10.2147/CLEP.S436131%20%20%20%20%20%20%20" TargetMode="External"/><Relationship Id="rId27" Type="http://schemas.openxmlformats.org/officeDocument/2006/relationships/hyperlink" Target="https://CRAN.R-project.org/package=survival" TargetMode="External"/><Relationship Id="rId30" Type="http://schemas.openxmlformats.org/officeDocument/2006/relationships/hyperlink" Target="https://github.com/pharmaverse/ggsurvfit" TargetMode="External"/><Relationship Id="rId35" Type="http://schemas.openxmlformats.org/officeDocument/2006/relationships/hyperlink" Target="https://github.com/janickweberpals/encore-process-manuscript/blob/main/manuscript/Figure_1_process.png" TargetMode="External"/><Relationship Id="rId43" Type="http://schemas.openxmlformats.org/officeDocument/2006/relationships/theme" Target="theme/theme1.xml"/><Relationship Id="rId8" Type="http://schemas.openxmlformats.org/officeDocument/2006/relationships/hyperlink" Target="https://janickweberpals.github.io/imputation-ps-workflows/" TargetMode="External"/><Relationship Id="rId3" Type="http://schemas.openxmlformats.org/officeDocument/2006/relationships/settings" Target="settings.xml"/><Relationship Id="rId12" Type="http://schemas.openxmlformats.org/officeDocument/2006/relationships/hyperlink" Target="https://www.fda.gov/media/120060/download?attachment" TargetMode="External"/><Relationship Id="rId17" Type="http://schemas.openxmlformats.org/officeDocument/2006/relationships/hyperlink" Target="https://doi.org/10.1158/1078-0432.CCR-22-0471" TargetMode="External"/><Relationship Id="rId25" Type="http://schemas.openxmlformats.org/officeDocument/2006/relationships/hyperlink" Target="http://dx.doi.org/10.1007/s10198-008-0129-y" TargetMode="External"/><Relationship Id="rId33" Type="http://schemas.openxmlformats.org/officeDocument/2006/relationships/image" Target="media/image3.png"/><Relationship Id="rId3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30</Pages>
  <Words>7690</Words>
  <Characters>43838</Characters>
  <Application>Microsoft Office Word</Application>
  <DocSecurity>0</DocSecurity>
  <Lines>365</Lines>
  <Paragraphs>102</Paragraphs>
  <ScaleCrop>false</ScaleCrop>
  <Company/>
  <LinksUpToDate>false</LinksUpToDate>
  <CharactersWithSpaces>51426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Emulating Comparative Oncology Trials with Real-world Evidence Studies (ENCORE): Process Development and Methodological Considerations for Oncology Real-World Data</dc:title>
  <dc:creator/>
  <cp:keywords/>
  <cp:lastModifiedBy>Janick Weberpals</cp:lastModifiedBy>
  <cp:revision>2</cp:revision>
  <dcterms:created xsi:type="dcterms:W3CDTF">2025-05-28T16:33:00Z</dcterms:created>
  <dcterms:modified xsi:type="dcterms:W3CDTF">2025-05-28T16:35:00Z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